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1EA7" w14:textId="77777777" w:rsidR="00E635CE" w:rsidRDefault="00E635CE" w:rsidP="00E635CE">
      <w:pPr>
        <w:jc w:val="center"/>
      </w:pPr>
      <w:r>
        <w:rPr>
          <w:noProof/>
        </w:rPr>
        <w:drawing>
          <wp:inline distT="0" distB="0" distL="0" distR="0" wp14:anchorId="049136E5" wp14:editId="51F39062">
            <wp:extent cx="6120130" cy="4328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28160"/>
                    </a:xfrm>
                    <a:prstGeom prst="rect">
                      <a:avLst/>
                    </a:prstGeom>
                  </pic:spPr>
                </pic:pic>
              </a:graphicData>
            </a:graphic>
          </wp:inline>
        </w:drawing>
      </w:r>
    </w:p>
    <w:p w14:paraId="529B18A0" w14:textId="77777777" w:rsidR="000962D6" w:rsidRPr="00AF444A" w:rsidRDefault="000962D6" w:rsidP="000962D6">
      <w:pPr>
        <w:pStyle w:val="berschrift1"/>
        <w:jc w:val="center"/>
        <w:rPr>
          <w:rFonts w:cstheme="majorHAnsi"/>
          <w:b/>
        </w:rPr>
      </w:pPr>
      <w:r w:rsidRPr="00AF444A">
        <w:rPr>
          <w:rFonts w:cstheme="majorHAnsi"/>
        </w:rPr>
        <w:t xml:space="preserve">Kostenlose Vorlage: </w:t>
      </w:r>
    </w:p>
    <w:p w14:paraId="0FDDA1F2" w14:textId="230C896B" w:rsidR="00E635CE" w:rsidRDefault="000962D6" w:rsidP="000962D6">
      <w:pPr>
        <w:pStyle w:val="berschrift1"/>
        <w:jc w:val="center"/>
      </w:pPr>
      <w:r w:rsidRPr="00AF444A">
        <w:rPr>
          <w:rFonts w:cstheme="majorHAnsi"/>
        </w:rPr>
        <w:t xml:space="preserve">Richtlinie </w:t>
      </w:r>
      <w:r>
        <w:rPr>
          <w:rFonts w:cstheme="majorHAnsi"/>
        </w:rPr>
        <w:t xml:space="preserve">zur </w:t>
      </w:r>
      <w:r w:rsidRPr="00AF444A">
        <w:rPr>
          <w:rFonts w:cstheme="majorHAnsi"/>
        </w:rPr>
        <w:t>Durchführung von Datenschutz-Folgenabschätzungen</w:t>
      </w:r>
      <w:r>
        <w:rPr>
          <w:rFonts w:cstheme="majorHAnsi"/>
        </w:rPr>
        <w:t xml:space="preserve"> (DSFA) </w:t>
      </w:r>
      <w:r w:rsidRPr="00AF444A">
        <w:rPr>
          <w:rFonts w:cstheme="majorHAnsi"/>
        </w:rPr>
        <w:t>gemäß DSGVO</w:t>
      </w:r>
      <w:bookmarkStart w:id="0" w:name="_GoBack"/>
      <w:bookmarkEnd w:id="0"/>
    </w:p>
    <w:p w14:paraId="449A7A02" w14:textId="77777777" w:rsidR="00E635CE" w:rsidRDefault="00E635CE" w:rsidP="00E635CE"/>
    <w:p w14:paraId="7547884C" w14:textId="77777777" w:rsidR="00E635CE" w:rsidRDefault="00E635CE" w:rsidP="00E635CE">
      <w:r>
        <w:t xml:space="preserve">Bei diesem Dokument handelt es sich um eine kostenlose Vorlage bzw. Checkliste der activeMind AG </w:t>
      </w:r>
      <w:r w:rsidR="00106170">
        <w:t xml:space="preserve">zu </w:t>
      </w:r>
      <w:r>
        <w:t xml:space="preserve">den Themenbereichen Datenschutz und Datensicherheit. Die aktuellste Version finden Sie stets auf </w:t>
      </w:r>
      <w:hyperlink r:id="rId9" w:history="1">
        <w:r w:rsidR="00106170">
          <w:rPr>
            <w:rStyle w:val="Hyperlink"/>
          </w:rPr>
          <w:t>im Downloadbereich u</w:t>
        </w:r>
        <w:r w:rsidRPr="00A20B20">
          <w:rPr>
            <w:rStyle w:val="Hyperlink"/>
          </w:rPr>
          <w:t>nserer Website</w:t>
        </w:r>
      </w:hyperlink>
      <w:r>
        <w:t xml:space="preserve">. </w:t>
      </w:r>
    </w:p>
    <w:p w14:paraId="5444C930" w14:textId="77777777" w:rsidR="00E635CE" w:rsidRDefault="00E635CE" w:rsidP="00E635CE">
      <w:r>
        <w:t xml:space="preserve">Sie können dieses Dokument an die Bedürfnisse in Ihrem Unternehmen anpassen, speichern und ausdrucken. Bitte haben Sie Verständnis dafür, dass die activeMind AG keinerlei Haftung für etwaige Fehler übernimmt. </w:t>
      </w:r>
    </w:p>
    <w:p w14:paraId="6DE720C2" w14:textId="77777777" w:rsidR="00E635CE" w:rsidRDefault="00E635CE" w:rsidP="00E635CE">
      <w:r>
        <w:t>Bei Fragen oder Problemen helfen wir Ihnen gerne weiter!</w:t>
      </w:r>
    </w:p>
    <w:p w14:paraId="56E0A903" w14:textId="77777777" w:rsidR="00E635CE" w:rsidRDefault="00E635CE" w:rsidP="00E635CE">
      <w:r>
        <w:t>Ihr Team der activeMind AG</w:t>
      </w:r>
    </w:p>
    <w:p w14:paraId="239FAB97" w14:textId="66255728" w:rsidR="00243DFE" w:rsidRDefault="00E635CE" w:rsidP="00243DFE">
      <w:r>
        <w:t xml:space="preserve">Telefon: </w:t>
      </w:r>
      <w:r>
        <w:tab/>
      </w:r>
      <w:r w:rsidR="006F7763" w:rsidRPr="00D66001">
        <w:t>+49 (0)89 / 91 92 94 – 900</w:t>
      </w:r>
      <w:r>
        <w:br/>
        <w:t xml:space="preserve">E-Mail: </w:t>
      </w:r>
      <w:r>
        <w:tab/>
      </w:r>
      <w:r>
        <w:tab/>
      </w:r>
      <w:hyperlink r:id="rId10" w:history="1">
        <w:r w:rsidRPr="0056074D">
          <w:rPr>
            <w:rStyle w:val="Hyperlink"/>
          </w:rPr>
          <w:t>anfrage@activemind.de</w:t>
        </w:r>
      </w:hyperlink>
      <w:r>
        <w:br/>
        <w:t xml:space="preserve">Web: </w:t>
      </w:r>
      <w:r>
        <w:tab/>
      </w:r>
      <w:r>
        <w:tab/>
      </w:r>
      <w:hyperlink r:id="rId11" w:history="1">
        <w:r w:rsidRPr="0056074D">
          <w:rPr>
            <w:rStyle w:val="Hyperlink"/>
          </w:rPr>
          <w:t>https://www.activemind.de</w:t>
        </w:r>
      </w:hyperlink>
      <w:r>
        <w:t xml:space="preserve"> </w:t>
      </w:r>
    </w:p>
    <w:p w14:paraId="13FB50CF" w14:textId="77777777" w:rsidR="00243DFE" w:rsidRDefault="00243DFE">
      <w:pPr>
        <w:spacing w:after="0" w:line="240" w:lineRule="auto"/>
      </w:pPr>
      <w:r>
        <w:br w:type="page"/>
      </w:r>
    </w:p>
    <w:p w14:paraId="24D1037A" w14:textId="77777777" w:rsidR="00DB3241" w:rsidRPr="002B408A" w:rsidRDefault="00DB3241" w:rsidP="00DB3241">
      <w:pPr>
        <w:pStyle w:val="Titel"/>
        <w:rPr>
          <w:b/>
        </w:rPr>
      </w:pPr>
      <w:r w:rsidRPr="001C6973">
        <w:lastRenderedPageBreak/>
        <w:t xml:space="preserve">Richtlinie: </w:t>
      </w:r>
      <w:r>
        <w:t xml:space="preserve">Risikoanalyse und </w:t>
      </w:r>
      <w:r w:rsidRPr="001C6973">
        <w:t xml:space="preserve">Durchführung </w:t>
      </w:r>
      <w:r>
        <w:t xml:space="preserve">von </w:t>
      </w:r>
      <w:r w:rsidRPr="001C6973">
        <w:t>Datenschutz-Folgenabschätzungen</w:t>
      </w:r>
    </w:p>
    <w:p w14:paraId="017F2861" w14:textId="77777777" w:rsidR="00DB3241" w:rsidRDefault="00DB3241" w:rsidP="00DB3241">
      <w:pPr>
        <w:rPr>
          <w:rFonts w:eastAsiaTheme="minorEastAsia"/>
          <w:szCs w:val="28"/>
        </w:rPr>
      </w:pPr>
      <w:r>
        <w:rPr>
          <w:rFonts w:eastAsiaTheme="minorEastAsia"/>
          <w:szCs w:val="28"/>
        </w:rPr>
        <w:t xml:space="preserve">Jedes Unternehmen hat die gesetzliche Pflicht, personenbezogene Daten risikoangemessen zu schützen. Die Risikobestimmung erfolgt dabei individuell für jede Verarbeitung und ist bei veränderten Umständen (z.B. Einsatz neuer Technologien oder neuer Auftragsverarbeiter) zu wiederholen. </w:t>
      </w:r>
      <w:r w:rsidRPr="0015601C">
        <w:rPr>
          <w:rFonts w:cs="Calibri"/>
        </w:rPr>
        <w:t xml:space="preserve">Entscheidend ist </w:t>
      </w:r>
      <w:r>
        <w:rPr>
          <w:rFonts w:cs="Calibri"/>
        </w:rPr>
        <w:t xml:space="preserve">dabei </w:t>
      </w:r>
      <w:r w:rsidRPr="0015601C">
        <w:rPr>
          <w:rFonts w:cs="Calibri"/>
        </w:rPr>
        <w:t xml:space="preserve">das Risiko aus Sicht des Betroffenen. </w:t>
      </w:r>
      <w:r>
        <w:rPr>
          <w:rFonts w:eastAsiaTheme="minorEastAsia"/>
          <w:szCs w:val="28"/>
        </w:rPr>
        <w:t xml:space="preserve">Wurde im Rahmen der Risikoanalyse ein hohes Risiko für die betroffenen Personen, deren Daten verarbeitet werden sollen, festgestellt, muss vom Unternehmen eine Datenschutz-Folgenabschätzung durchgeführt (DSFA) werden. </w:t>
      </w:r>
    </w:p>
    <w:p w14:paraId="063CC88A" w14:textId="77777777" w:rsidR="00DB3241" w:rsidRDefault="00DB3241" w:rsidP="00DB3241">
      <w:pPr>
        <w:rPr>
          <w:rFonts w:eastAsiaTheme="minorEastAsia"/>
          <w:szCs w:val="28"/>
        </w:rPr>
      </w:pPr>
      <w:r>
        <w:rPr>
          <w:rFonts w:eastAsiaTheme="minorEastAsia"/>
          <w:szCs w:val="28"/>
        </w:rPr>
        <w:t xml:space="preserve">Ziel einer DSFA ist es die Risiken für die betroffenen Personen zu analysieren, indem die potentiellen Schäden für die betroffenen Personen sowie die möglichen Ursachen dafür identifiziert werden und geeignete und wirksame (technische und organisatorische) Maßnahmen ausgewählt werden, um diese Risiken zu reduzieren. </w:t>
      </w:r>
    </w:p>
    <w:p w14:paraId="64E60B8E" w14:textId="77777777" w:rsidR="00DB3241" w:rsidRPr="00D15012" w:rsidRDefault="00DB3241" w:rsidP="00DB3241">
      <w:pPr>
        <w:rPr>
          <w:rFonts w:eastAsiaTheme="minorEastAsia"/>
          <w:szCs w:val="28"/>
        </w:rPr>
      </w:pPr>
      <w:r w:rsidRPr="00D15012">
        <w:rPr>
          <w:rFonts w:eastAsiaTheme="minorEastAsia"/>
          <w:szCs w:val="28"/>
        </w:rPr>
        <w:t>Diese Richtlinie stellt Regeln zur Durchführung einer Datenschutz-Folgenabschätzung auf, um dem potentiellen hohen Risiko für die betroffenen Personen bereits im Vorfeld zu begegnen.</w:t>
      </w:r>
    </w:p>
    <w:p w14:paraId="68563F7A" w14:textId="77777777" w:rsidR="00DB3241" w:rsidRPr="00D15012" w:rsidRDefault="00DB3241" w:rsidP="00DB3241">
      <w:pPr>
        <w:rPr>
          <w:rFonts w:eastAsiaTheme="minorEastAsia"/>
          <w:szCs w:val="28"/>
        </w:rPr>
      </w:pPr>
      <w:r w:rsidRPr="00D15012">
        <w:rPr>
          <w:rFonts w:eastAsiaTheme="minorEastAsia"/>
          <w:szCs w:val="28"/>
        </w:rPr>
        <w:t xml:space="preserve">Verstöße </w:t>
      </w:r>
      <w:r w:rsidRPr="00D15012">
        <w:t>gegen die Pflicht, eine Datenschutz-Folgenabschätzung d</w:t>
      </w:r>
      <w:r>
        <w:t>urchzuführen</w:t>
      </w:r>
      <w:r w:rsidRPr="00D15012">
        <w:t>, können S</w:t>
      </w:r>
      <w:r w:rsidRPr="00D15012">
        <w:rPr>
          <w:rFonts w:eastAsiaTheme="minorEastAsia"/>
          <w:szCs w:val="28"/>
        </w:rPr>
        <w:t xml:space="preserve">chadensersatzansprüche nach sich ziehen und nach EU-Datenschutz-Grundverordnung (DSGVO) mit sehr hohen Bußgeldern geahndet werden. Neben den direkten Schäden kann auch das Ansehen des Unternehmens dauerhaft beeinträchtigt </w:t>
      </w:r>
      <w:r>
        <w:rPr>
          <w:rFonts w:eastAsiaTheme="minorEastAsia"/>
          <w:szCs w:val="28"/>
        </w:rPr>
        <w:t xml:space="preserve">werden </w:t>
      </w:r>
      <w:r w:rsidRPr="00D15012">
        <w:rPr>
          <w:rFonts w:eastAsiaTheme="minorEastAsia"/>
          <w:szCs w:val="28"/>
        </w:rPr>
        <w:t xml:space="preserve">und </w:t>
      </w:r>
      <w:r>
        <w:rPr>
          <w:rFonts w:eastAsiaTheme="minorEastAsia"/>
          <w:szCs w:val="28"/>
        </w:rPr>
        <w:t xml:space="preserve">dies </w:t>
      </w:r>
      <w:r w:rsidRPr="00D15012">
        <w:rPr>
          <w:rFonts w:eastAsiaTheme="minorEastAsia"/>
          <w:szCs w:val="28"/>
        </w:rPr>
        <w:t xml:space="preserve">zu einem Vertrauensverlust seitens der betroffenen Personen führen. </w:t>
      </w:r>
    </w:p>
    <w:p w14:paraId="4FCE13B2" w14:textId="77777777" w:rsidR="00DB3241" w:rsidRPr="00D15012" w:rsidRDefault="00DB3241" w:rsidP="00DB3241">
      <w:pPr>
        <w:rPr>
          <w:rFonts w:eastAsiaTheme="minorEastAsia"/>
          <w:szCs w:val="28"/>
        </w:rPr>
      </w:pPr>
      <w:r w:rsidRPr="00D15012">
        <w:rPr>
          <w:rFonts w:eastAsiaTheme="minorEastAsia"/>
          <w:szCs w:val="28"/>
        </w:rPr>
        <w:t xml:space="preserve">Werden hohe Risiken nicht eingedämmt, sind Datenschutzverletzungen sehr wahrscheinlich. Diese können für das Unternehmen, Partner und Kunden sowie vor allem für die betroffene Person schwerwiegende Folgen haben. </w:t>
      </w:r>
    </w:p>
    <w:p w14:paraId="2FD66E7A" w14:textId="77777777" w:rsidR="00DB3241" w:rsidRPr="00D15012" w:rsidRDefault="00DB3241" w:rsidP="00DB3241">
      <w:pPr>
        <w:rPr>
          <w:rFonts w:eastAsiaTheme="minorEastAsia"/>
          <w:szCs w:val="28"/>
        </w:rPr>
      </w:pPr>
      <w:r w:rsidRPr="00D15012">
        <w:rPr>
          <w:rFonts w:eastAsiaTheme="minorEastAsia"/>
          <w:szCs w:val="28"/>
        </w:rPr>
        <w:t xml:space="preserve">Diese Richtlinie soll deshalb eine konkrete Hilfestellung zur </w:t>
      </w:r>
      <w:r>
        <w:rPr>
          <w:rFonts w:eastAsiaTheme="minorEastAsia"/>
          <w:szCs w:val="28"/>
        </w:rPr>
        <w:t xml:space="preserve">Bestimmung des relevanten Risikos und der </w:t>
      </w:r>
      <w:r w:rsidRPr="00D15012">
        <w:rPr>
          <w:rFonts w:eastAsiaTheme="minorEastAsia"/>
          <w:szCs w:val="28"/>
        </w:rPr>
        <w:t>korrekten Durchführung von Datenschutz-Folgenabschätzungen geben.</w:t>
      </w:r>
    </w:p>
    <w:p w14:paraId="50591DDA" w14:textId="77777777" w:rsidR="00DB3241" w:rsidRPr="004F543A" w:rsidRDefault="00DB3241" w:rsidP="00DB3241">
      <w:pPr>
        <w:pStyle w:val="berschrift1"/>
        <w:ind w:left="432" w:hanging="432"/>
        <w:rPr>
          <w:rFonts w:cstheme="majorHAnsi"/>
          <w:b/>
        </w:rPr>
      </w:pPr>
      <w:bookmarkStart w:id="1" w:name="_Toc2261247"/>
      <w:r w:rsidRPr="004F543A">
        <w:rPr>
          <w:rFonts w:cstheme="majorHAnsi"/>
        </w:rPr>
        <w:t>Präambel</w:t>
      </w:r>
    </w:p>
    <w:p w14:paraId="05DB24BE" w14:textId="77777777" w:rsidR="00DB3241" w:rsidRPr="00267272" w:rsidRDefault="00DB3241" w:rsidP="00DB3241">
      <w:pPr>
        <w:rPr>
          <w:szCs w:val="28"/>
        </w:rPr>
      </w:pPr>
      <w:r w:rsidRPr="00267272">
        <w:rPr>
          <w:szCs w:val="28"/>
        </w:rPr>
        <w:t xml:space="preserve">Fügen Sie hier eine Kurzbeschreibung Ihres Unternehmens und die Motivation zur Einhaltung des Datenschutzes in Ihrem Unternehmen ein. Sollen mit dieser Richtlinie besondere Ziele erreicht werden, gehören diese Informationen auch hierher. </w:t>
      </w:r>
    </w:p>
    <w:p w14:paraId="431D39C1" w14:textId="77777777" w:rsidR="00DB3241" w:rsidRDefault="00DB3241" w:rsidP="00DB3241">
      <w:pPr>
        <w:pStyle w:val="berschrift1"/>
        <w:ind w:left="432" w:hanging="432"/>
        <w:rPr>
          <w:rFonts w:cstheme="majorHAnsi"/>
          <w:b/>
        </w:rPr>
      </w:pPr>
      <w:r w:rsidRPr="004143AD">
        <w:rPr>
          <w:rFonts w:cstheme="majorHAnsi"/>
        </w:rPr>
        <w:t>Geltungsbereich</w:t>
      </w:r>
      <w:bookmarkEnd w:id="1"/>
    </w:p>
    <w:p w14:paraId="533D8BCF" w14:textId="77777777" w:rsidR="00DB3241" w:rsidRPr="000863D3" w:rsidRDefault="00DB3241" w:rsidP="00DB3241">
      <w:pPr>
        <w:pStyle w:val="Listenabsatz"/>
        <w:numPr>
          <w:ilvl w:val="0"/>
          <w:numId w:val="49"/>
        </w:numPr>
        <w:spacing w:before="120" w:line="240" w:lineRule="auto"/>
        <w:rPr>
          <w:rFonts w:eastAsiaTheme="minorEastAsia"/>
          <w:szCs w:val="28"/>
        </w:rPr>
      </w:pPr>
      <w:r w:rsidRPr="000863D3">
        <w:rPr>
          <w:rFonts w:eastAsiaTheme="minorEastAsia"/>
          <w:szCs w:val="28"/>
        </w:rPr>
        <w:t>Unternehmen</w:t>
      </w:r>
    </w:p>
    <w:p w14:paraId="7B297736" w14:textId="77777777" w:rsidR="00DB3241" w:rsidRPr="000863D3" w:rsidRDefault="00DB3241" w:rsidP="00DB3241">
      <w:pPr>
        <w:pStyle w:val="Listenabsatz"/>
        <w:numPr>
          <w:ilvl w:val="0"/>
          <w:numId w:val="49"/>
        </w:numPr>
        <w:spacing w:before="120" w:line="240" w:lineRule="auto"/>
        <w:rPr>
          <w:rFonts w:eastAsiaTheme="minorEastAsia"/>
          <w:szCs w:val="28"/>
        </w:rPr>
      </w:pPr>
      <w:r>
        <w:rPr>
          <w:rFonts w:eastAsiaTheme="minorEastAsia"/>
          <w:szCs w:val="28"/>
        </w:rPr>
        <w:t>G</w:t>
      </w:r>
      <w:r w:rsidRPr="000863D3">
        <w:rPr>
          <w:rFonts w:eastAsiaTheme="minorEastAsia"/>
          <w:szCs w:val="28"/>
        </w:rPr>
        <w:t xml:space="preserve">gf. externe Personen / Auftragsverarbeiter </w:t>
      </w:r>
      <w:r>
        <w:rPr>
          <w:rFonts w:eastAsiaTheme="minorEastAsia"/>
          <w:szCs w:val="28"/>
        </w:rPr>
        <w:t>(z.B. im Rahmen einer Unterstützungspflicht)</w:t>
      </w:r>
    </w:p>
    <w:p w14:paraId="00CF4BDB" w14:textId="77777777" w:rsidR="00DB3241" w:rsidRPr="00B441E0" w:rsidRDefault="00DB3241" w:rsidP="00DB3241">
      <w:pPr>
        <w:pStyle w:val="berschrift1"/>
        <w:ind w:left="432" w:hanging="432"/>
        <w:rPr>
          <w:rFonts w:cstheme="majorHAnsi"/>
          <w:b/>
        </w:rPr>
      </w:pPr>
      <w:bookmarkStart w:id="2" w:name="_Toc363547763"/>
      <w:bookmarkStart w:id="3" w:name="_Toc403567763"/>
      <w:bookmarkStart w:id="4" w:name="_Toc504399067"/>
      <w:r w:rsidRPr="00B441E0">
        <w:rPr>
          <w:rFonts w:cstheme="majorHAnsi"/>
        </w:rPr>
        <w:t>Gesetzliche Grundlagen</w:t>
      </w:r>
      <w:bookmarkEnd w:id="2"/>
      <w:bookmarkEnd w:id="3"/>
      <w:bookmarkEnd w:id="4"/>
    </w:p>
    <w:p w14:paraId="2B9DC024" w14:textId="77777777" w:rsidR="00DB3241" w:rsidRPr="000863D3" w:rsidRDefault="00DB3241" w:rsidP="00DB3241">
      <w:pPr>
        <w:rPr>
          <w:rFonts w:eastAsiaTheme="minorEastAsia"/>
          <w:szCs w:val="28"/>
        </w:rPr>
      </w:pPr>
      <w:r w:rsidRPr="000863D3">
        <w:rPr>
          <w:rFonts w:eastAsiaTheme="minorEastAsia"/>
          <w:szCs w:val="28"/>
        </w:rPr>
        <w:t xml:space="preserve">Folgende Regelungen sind im Zusammenhang mit </w:t>
      </w:r>
      <w:r>
        <w:rPr>
          <w:rFonts w:eastAsiaTheme="minorEastAsia"/>
          <w:szCs w:val="28"/>
        </w:rPr>
        <w:t xml:space="preserve">einer </w:t>
      </w:r>
      <w:r w:rsidRPr="000863D3">
        <w:rPr>
          <w:rFonts w:eastAsiaTheme="minorEastAsia"/>
          <w:szCs w:val="28"/>
        </w:rPr>
        <w:t>Datenschutz</w:t>
      </w:r>
      <w:r>
        <w:rPr>
          <w:rFonts w:eastAsiaTheme="minorEastAsia"/>
          <w:szCs w:val="28"/>
        </w:rPr>
        <w:t>-Folgenabschätzungen</w:t>
      </w:r>
      <w:r w:rsidRPr="000863D3">
        <w:rPr>
          <w:rFonts w:eastAsiaTheme="minorEastAsia"/>
          <w:szCs w:val="28"/>
        </w:rPr>
        <w:t xml:space="preserve"> besonders relevant (</w:t>
      </w:r>
      <w:r>
        <w:rPr>
          <w:rFonts w:eastAsiaTheme="minorEastAsia"/>
          <w:szCs w:val="28"/>
        </w:rPr>
        <w:t>d</w:t>
      </w:r>
      <w:r w:rsidRPr="000863D3">
        <w:rPr>
          <w:rFonts w:eastAsiaTheme="minorEastAsia"/>
          <w:szCs w:val="28"/>
        </w:rPr>
        <w:t>ie Liste ist nicht abschließend)</w:t>
      </w:r>
      <w:r>
        <w:rPr>
          <w:rFonts w:eastAsiaTheme="minorEastAsia"/>
          <w:szCs w:val="28"/>
        </w:rPr>
        <w:t>:</w:t>
      </w:r>
    </w:p>
    <w:p w14:paraId="5DE0E5AA" w14:textId="77777777" w:rsidR="00DB3241" w:rsidRPr="000863D3" w:rsidRDefault="00DB3241" w:rsidP="00DB3241">
      <w:pPr>
        <w:pStyle w:val="Listenabsatz"/>
        <w:numPr>
          <w:ilvl w:val="0"/>
          <w:numId w:val="49"/>
        </w:numPr>
        <w:spacing w:before="120" w:line="240" w:lineRule="auto"/>
        <w:rPr>
          <w:rFonts w:eastAsiaTheme="minorEastAsia"/>
          <w:szCs w:val="28"/>
        </w:rPr>
      </w:pPr>
      <w:r w:rsidRPr="000863D3">
        <w:rPr>
          <w:rFonts w:eastAsiaTheme="minorEastAsia"/>
          <w:szCs w:val="28"/>
        </w:rPr>
        <w:t>Art. 3</w:t>
      </w:r>
      <w:r>
        <w:rPr>
          <w:rFonts w:eastAsiaTheme="minorEastAsia"/>
          <w:szCs w:val="28"/>
        </w:rPr>
        <w:t>5</w:t>
      </w:r>
      <w:r w:rsidRPr="000863D3">
        <w:rPr>
          <w:rFonts w:eastAsiaTheme="minorEastAsia"/>
          <w:szCs w:val="28"/>
        </w:rPr>
        <w:t xml:space="preserve"> DSGVO</w:t>
      </w:r>
    </w:p>
    <w:p w14:paraId="17D7A621" w14:textId="77777777" w:rsidR="00DB3241" w:rsidRDefault="00DB3241" w:rsidP="00DB3241">
      <w:pPr>
        <w:pStyle w:val="Listenabsatz"/>
        <w:numPr>
          <w:ilvl w:val="0"/>
          <w:numId w:val="49"/>
        </w:numPr>
        <w:spacing w:before="120" w:line="240" w:lineRule="auto"/>
        <w:rPr>
          <w:rFonts w:eastAsiaTheme="minorEastAsia"/>
          <w:szCs w:val="28"/>
        </w:rPr>
      </w:pPr>
      <w:r w:rsidRPr="000863D3">
        <w:rPr>
          <w:rFonts w:eastAsiaTheme="minorEastAsia"/>
          <w:szCs w:val="28"/>
        </w:rPr>
        <w:t>Art. 3</w:t>
      </w:r>
      <w:r>
        <w:rPr>
          <w:rFonts w:eastAsiaTheme="minorEastAsia"/>
          <w:szCs w:val="28"/>
        </w:rPr>
        <w:t>6</w:t>
      </w:r>
      <w:r w:rsidRPr="000863D3">
        <w:rPr>
          <w:rFonts w:eastAsiaTheme="minorEastAsia"/>
          <w:szCs w:val="28"/>
        </w:rPr>
        <w:t xml:space="preserve"> DSGVO</w:t>
      </w:r>
    </w:p>
    <w:p w14:paraId="470D096B" w14:textId="77777777" w:rsidR="00DB3241" w:rsidRDefault="00DB3241" w:rsidP="00DB3241">
      <w:pPr>
        <w:pStyle w:val="Listenabsatz"/>
        <w:numPr>
          <w:ilvl w:val="0"/>
          <w:numId w:val="49"/>
        </w:numPr>
        <w:spacing w:before="120" w:line="240" w:lineRule="auto"/>
        <w:rPr>
          <w:rFonts w:eastAsiaTheme="minorEastAsia"/>
          <w:szCs w:val="28"/>
        </w:rPr>
      </w:pPr>
      <w:r>
        <w:rPr>
          <w:rFonts w:eastAsiaTheme="minorEastAsia"/>
          <w:szCs w:val="28"/>
        </w:rPr>
        <w:t xml:space="preserve">Erwägungsgründe </w:t>
      </w:r>
      <w:r>
        <w:t>75, 84, 89, 90 – 96</w:t>
      </w:r>
    </w:p>
    <w:p w14:paraId="5A2F2802" w14:textId="77777777" w:rsidR="00DB3241" w:rsidRPr="004143AD" w:rsidRDefault="00DB3241" w:rsidP="00DB3241">
      <w:pPr>
        <w:pStyle w:val="berschrift1"/>
        <w:ind w:left="432" w:hanging="432"/>
        <w:rPr>
          <w:rFonts w:cstheme="majorHAnsi"/>
          <w:b/>
        </w:rPr>
      </w:pPr>
      <w:r w:rsidRPr="004143AD">
        <w:rPr>
          <w:rFonts w:cstheme="majorHAnsi"/>
        </w:rPr>
        <w:lastRenderedPageBreak/>
        <w:t>Rollen</w:t>
      </w:r>
    </w:p>
    <w:p w14:paraId="5E1EC245" w14:textId="77777777" w:rsidR="00DB3241" w:rsidRPr="000863D3" w:rsidRDefault="00DB3241" w:rsidP="00DB3241">
      <w:pPr>
        <w:rPr>
          <w:rFonts w:eastAsiaTheme="minorEastAsia"/>
          <w:szCs w:val="28"/>
        </w:rPr>
      </w:pPr>
      <w:bookmarkStart w:id="5" w:name="_Toc403567776"/>
      <w:bookmarkStart w:id="6" w:name="_Toc504399069"/>
      <w:r w:rsidRPr="000863D3">
        <w:rPr>
          <w:szCs w:val="28"/>
        </w:rPr>
        <w:t>Festlegung der Rollen und Verantwortlichkeiten, z.</w:t>
      </w:r>
      <w:r>
        <w:rPr>
          <w:szCs w:val="28"/>
        </w:rPr>
        <w:t> </w:t>
      </w:r>
      <w:r w:rsidRPr="000863D3">
        <w:rPr>
          <w:szCs w:val="28"/>
        </w:rPr>
        <w:t>B.</w:t>
      </w:r>
      <w:r>
        <w:rPr>
          <w:szCs w:val="28"/>
        </w:rPr>
        <w:t>:</w:t>
      </w:r>
      <w:r w:rsidRPr="000863D3">
        <w:rPr>
          <w:szCs w:val="28"/>
        </w:rPr>
        <w:t xml:space="preserve"> </w:t>
      </w:r>
    </w:p>
    <w:p w14:paraId="5D0FC055" w14:textId="77777777" w:rsidR="00DB3241" w:rsidRPr="000863D3" w:rsidRDefault="00DB3241" w:rsidP="00DB3241">
      <w:pPr>
        <w:pStyle w:val="Listenabsatz"/>
        <w:numPr>
          <w:ilvl w:val="0"/>
          <w:numId w:val="49"/>
        </w:numPr>
        <w:spacing w:before="120" w:line="240" w:lineRule="auto"/>
        <w:rPr>
          <w:rFonts w:eastAsiaTheme="minorEastAsia"/>
          <w:szCs w:val="28"/>
        </w:rPr>
      </w:pPr>
      <w:r>
        <w:rPr>
          <w:rFonts w:eastAsiaTheme="minorEastAsia"/>
          <w:szCs w:val="28"/>
        </w:rPr>
        <w:t>Gesamtv</w:t>
      </w:r>
      <w:r w:rsidRPr="000863D3">
        <w:rPr>
          <w:rFonts w:eastAsiaTheme="minorEastAsia"/>
          <w:szCs w:val="28"/>
        </w:rPr>
        <w:t>erantwortlichkeit</w:t>
      </w:r>
      <w:bookmarkEnd w:id="5"/>
      <w:bookmarkEnd w:id="6"/>
      <w:r w:rsidRPr="000863D3">
        <w:rPr>
          <w:rFonts w:eastAsiaTheme="minorEastAsia"/>
          <w:szCs w:val="28"/>
        </w:rPr>
        <w:t xml:space="preserve"> (Geschäftsführung) </w:t>
      </w:r>
    </w:p>
    <w:p w14:paraId="405272F7" w14:textId="77777777" w:rsidR="00DB3241" w:rsidRDefault="00DB3241" w:rsidP="00DB3241">
      <w:pPr>
        <w:pStyle w:val="Listenabsatz"/>
        <w:numPr>
          <w:ilvl w:val="0"/>
          <w:numId w:val="49"/>
        </w:numPr>
        <w:spacing w:before="120" w:line="240" w:lineRule="auto"/>
        <w:rPr>
          <w:rFonts w:eastAsiaTheme="minorEastAsia"/>
          <w:szCs w:val="28"/>
        </w:rPr>
      </w:pPr>
      <w:r w:rsidRPr="000863D3">
        <w:rPr>
          <w:rFonts w:eastAsiaTheme="minorEastAsia"/>
          <w:szCs w:val="28"/>
        </w:rPr>
        <w:t>Durchführungsverantwortung</w:t>
      </w:r>
      <w:r>
        <w:rPr>
          <w:rFonts w:eastAsiaTheme="minorEastAsia"/>
          <w:szCs w:val="28"/>
        </w:rPr>
        <w:t xml:space="preserve"> (intern und ggf. extern)</w:t>
      </w:r>
    </w:p>
    <w:p w14:paraId="361151C3" w14:textId="77777777" w:rsidR="00DB3241" w:rsidRPr="000863D3" w:rsidRDefault="00DB3241" w:rsidP="00DB3241">
      <w:pPr>
        <w:pStyle w:val="Listenabsatz"/>
        <w:numPr>
          <w:ilvl w:val="0"/>
          <w:numId w:val="49"/>
        </w:numPr>
        <w:spacing w:before="120" w:line="240" w:lineRule="auto"/>
        <w:rPr>
          <w:rFonts w:eastAsiaTheme="minorEastAsia"/>
          <w:szCs w:val="28"/>
        </w:rPr>
      </w:pPr>
      <w:r>
        <w:rPr>
          <w:rFonts w:eastAsiaTheme="minorEastAsia"/>
          <w:szCs w:val="28"/>
        </w:rPr>
        <w:t>Datenschutzbeauftragter (Beteiligungspflicht, Art. 35 Abs. 2 DSGVO)</w:t>
      </w:r>
    </w:p>
    <w:p w14:paraId="517A6C1F" w14:textId="77777777" w:rsidR="00DB3241" w:rsidRPr="004A36F9" w:rsidRDefault="00DB3241" w:rsidP="00DB3241">
      <w:pPr>
        <w:pStyle w:val="Listenabsatz"/>
        <w:numPr>
          <w:ilvl w:val="0"/>
          <w:numId w:val="49"/>
        </w:numPr>
        <w:spacing w:before="120" w:line="240" w:lineRule="auto"/>
        <w:rPr>
          <w:rFonts w:eastAsiaTheme="minorEastAsia"/>
          <w:szCs w:val="28"/>
        </w:rPr>
      </w:pPr>
      <w:r>
        <w:t>Ggf. Hersteller / Lieferanten von IT-Systemen und Anwendungen</w:t>
      </w:r>
    </w:p>
    <w:p w14:paraId="6092C9A3" w14:textId="77777777" w:rsidR="00DB3241" w:rsidRPr="004A36F9" w:rsidRDefault="00DB3241" w:rsidP="00DB3241">
      <w:pPr>
        <w:pStyle w:val="Listenabsatz"/>
        <w:numPr>
          <w:ilvl w:val="0"/>
          <w:numId w:val="49"/>
        </w:numPr>
        <w:spacing w:before="120" w:line="240" w:lineRule="auto"/>
        <w:rPr>
          <w:rFonts w:eastAsiaTheme="minorEastAsia"/>
          <w:szCs w:val="28"/>
        </w:rPr>
      </w:pPr>
      <w:r>
        <w:t>Ggf. Vertreter der von der Verarbeitung betroffenen Personen / Kreise</w:t>
      </w:r>
    </w:p>
    <w:p w14:paraId="7A4E4D06" w14:textId="77777777" w:rsidR="00DB3241" w:rsidRDefault="00DB3241" w:rsidP="00DB3241">
      <w:pPr>
        <w:pStyle w:val="berschrift1"/>
        <w:ind w:left="432" w:hanging="432"/>
        <w:rPr>
          <w:rFonts w:cstheme="majorHAnsi"/>
          <w:b/>
        </w:rPr>
      </w:pPr>
      <w:bookmarkStart w:id="7" w:name="_Toc2261256"/>
      <w:bookmarkStart w:id="8" w:name="_Toc497471868"/>
      <w:bookmarkStart w:id="9" w:name="_Toc403567795"/>
      <w:bookmarkStart w:id="10" w:name="_Toc363547798"/>
      <w:bookmarkStart w:id="11" w:name="_Toc363046739"/>
      <w:r>
        <w:rPr>
          <w:rFonts w:cstheme="majorHAnsi"/>
        </w:rPr>
        <w:t>Risikoanalyse</w:t>
      </w:r>
    </w:p>
    <w:p w14:paraId="28EDE514" w14:textId="77777777" w:rsidR="00DB3241" w:rsidRPr="00083189" w:rsidRDefault="00DB3241" w:rsidP="00DB3241">
      <w:pPr>
        <w:pStyle w:val="Listenabsatz"/>
        <w:numPr>
          <w:ilvl w:val="0"/>
          <w:numId w:val="49"/>
        </w:numPr>
        <w:spacing w:before="120" w:line="240" w:lineRule="auto"/>
        <w:rPr>
          <w:rFonts w:eastAsiaTheme="minorEastAsia"/>
          <w:szCs w:val="28"/>
        </w:rPr>
      </w:pPr>
      <w:r>
        <w:rPr>
          <w:rFonts w:eastAsiaTheme="minorEastAsia"/>
          <w:szCs w:val="28"/>
        </w:rPr>
        <w:t xml:space="preserve">Vereinfachte Methode zur </w:t>
      </w:r>
      <w:r w:rsidRPr="00083189">
        <w:rPr>
          <w:rFonts w:eastAsiaTheme="minorEastAsia"/>
          <w:szCs w:val="28"/>
        </w:rPr>
        <w:t xml:space="preserve">Bestimmung des Risikos </w:t>
      </w:r>
      <w:r>
        <w:rPr>
          <w:rFonts w:eastAsiaTheme="minorEastAsia"/>
          <w:szCs w:val="28"/>
        </w:rPr>
        <w:t xml:space="preserve">z.B. </w:t>
      </w:r>
      <w:r w:rsidRPr="00083189">
        <w:rPr>
          <w:rFonts w:eastAsiaTheme="minorEastAsia"/>
          <w:szCs w:val="28"/>
        </w:rPr>
        <w:t xml:space="preserve">durch die sog. Schwellwertanalyse </w:t>
      </w:r>
      <w:r>
        <w:rPr>
          <w:rFonts w:eastAsiaTheme="minorEastAsia"/>
          <w:szCs w:val="28"/>
        </w:rPr>
        <w:t>unter Berücksichtigung</w:t>
      </w:r>
      <w:r w:rsidRPr="00083189">
        <w:rPr>
          <w:rFonts w:eastAsiaTheme="minorEastAsia"/>
          <w:szCs w:val="28"/>
        </w:rPr>
        <w:t xml:space="preserve"> der Empfehlungen der </w:t>
      </w:r>
      <w:hyperlink r:id="rId12" w:history="1">
        <w:r w:rsidRPr="001B62A4">
          <w:rPr>
            <w:rStyle w:val="Hyperlink"/>
            <w:rFonts w:eastAsiaTheme="minorEastAsia"/>
            <w:szCs w:val="28"/>
          </w:rPr>
          <w:t>Art. 29 Gruppe, WP248</w:t>
        </w:r>
      </w:hyperlink>
    </w:p>
    <w:p w14:paraId="4979FA85" w14:textId="77777777" w:rsidR="00DB3241" w:rsidRDefault="00DB3241" w:rsidP="00DB3241">
      <w:pPr>
        <w:pStyle w:val="Listenabsatz"/>
        <w:numPr>
          <w:ilvl w:val="0"/>
          <w:numId w:val="49"/>
        </w:numPr>
        <w:spacing w:before="120" w:line="240" w:lineRule="auto"/>
        <w:rPr>
          <w:rFonts w:eastAsiaTheme="minorEastAsia"/>
          <w:szCs w:val="28"/>
        </w:rPr>
      </w:pPr>
      <w:r w:rsidRPr="00083189">
        <w:rPr>
          <w:rFonts w:eastAsiaTheme="minorEastAsia"/>
          <w:szCs w:val="28"/>
        </w:rPr>
        <w:t>Ermittlung des Risikos in anderen Fällen</w:t>
      </w:r>
      <w:r>
        <w:rPr>
          <w:rFonts w:eastAsiaTheme="minorEastAsia"/>
          <w:szCs w:val="28"/>
        </w:rPr>
        <w:t>:</w:t>
      </w:r>
    </w:p>
    <w:p w14:paraId="678C9A61" w14:textId="77777777" w:rsidR="00DB3241" w:rsidRDefault="00DB3241" w:rsidP="00DB3241">
      <w:pPr>
        <w:pStyle w:val="Listenabsatz"/>
        <w:numPr>
          <w:ilvl w:val="1"/>
          <w:numId w:val="49"/>
        </w:numPr>
        <w:spacing w:before="120" w:line="240" w:lineRule="auto"/>
        <w:rPr>
          <w:rFonts w:eastAsiaTheme="minorEastAsia"/>
          <w:szCs w:val="28"/>
        </w:rPr>
      </w:pPr>
      <w:r>
        <w:rPr>
          <w:rFonts w:eastAsiaTheme="minorEastAsia"/>
          <w:szCs w:val="28"/>
        </w:rPr>
        <w:t xml:space="preserve">Begriffsklärung „Risiko“, z.B. anhand der Erwägungsgründe 75 und 92 </w:t>
      </w:r>
    </w:p>
    <w:p w14:paraId="180B61D1" w14:textId="77777777" w:rsidR="00DB3241" w:rsidRDefault="00DB3241" w:rsidP="00DB3241">
      <w:pPr>
        <w:pStyle w:val="Listenabsatz"/>
        <w:numPr>
          <w:ilvl w:val="1"/>
          <w:numId w:val="49"/>
        </w:numPr>
        <w:spacing w:before="120" w:line="240" w:lineRule="auto"/>
        <w:rPr>
          <w:rFonts w:eastAsiaTheme="minorEastAsia"/>
          <w:szCs w:val="28"/>
        </w:rPr>
      </w:pPr>
      <w:r>
        <w:rPr>
          <w:rFonts w:eastAsiaTheme="minorEastAsia"/>
          <w:szCs w:val="28"/>
        </w:rPr>
        <w:t>Darstellung der Vorgehensweise zur Risikoidentifikation mit</w:t>
      </w:r>
    </w:p>
    <w:p w14:paraId="07B45BF5" w14:textId="77777777" w:rsidR="00DB3241" w:rsidRPr="00DB5D2D" w:rsidRDefault="00DB3241" w:rsidP="00DB3241">
      <w:pPr>
        <w:pStyle w:val="Listenabsatz"/>
        <w:numPr>
          <w:ilvl w:val="2"/>
          <w:numId w:val="49"/>
        </w:numPr>
        <w:spacing w:before="120" w:line="240" w:lineRule="auto"/>
        <w:ind w:left="1418"/>
        <w:rPr>
          <w:rFonts w:eastAsiaTheme="minorEastAsia"/>
          <w:szCs w:val="28"/>
        </w:rPr>
      </w:pPr>
      <w:r>
        <w:rPr>
          <w:rFonts w:eastAsiaTheme="minorEastAsia"/>
          <w:szCs w:val="28"/>
        </w:rPr>
        <w:t>Auflistung möglicher</w:t>
      </w:r>
      <w:r w:rsidRPr="00DB5D2D">
        <w:rPr>
          <w:rFonts w:eastAsiaTheme="minorEastAsia"/>
          <w:szCs w:val="28"/>
        </w:rPr>
        <w:t xml:space="preserve"> Schäden für betroffene Personen hinsichtlich Vertraulichkeit, Verfügbarkeit, Integrität (z.B. </w:t>
      </w:r>
      <w:r w:rsidRPr="00083189">
        <w:rPr>
          <w:rFonts w:cs="Calibri"/>
        </w:rPr>
        <w:t>Finanzielle Verluste, Diskriminierung, Identitätsdiebstahl)</w:t>
      </w:r>
      <w:r>
        <w:rPr>
          <w:rFonts w:cs="Calibri"/>
        </w:rPr>
        <w:t xml:space="preserve"> </w:t>
      </w:r>
    </w:p>
    <w:p w14:paraId="2D386EFE" w14:textId="77777777" w:rsidR="00DB3241" w:rsidRDefault="00DB3241" w:rsidP="00DB3241">
      <w:pPr>
        <w:pStyle w:val="Listenabsatz"/>
        <w:numPr>
          <w:ilvl w:val="2"/>
          <w:numId w:val="49"/>
        </w:numPr>
        <w:spacing w:before="120" w:line="240" w:lineRule="auto"/>
        <w:ind w:left="1418"/>
        <w:rPr>
          <w:rFonts w:eastAsiaTheme="minorEastAsia"/>
          <w:szCs w:val="28"/>
        </w:rPr>
      </w:pPr>
      <w:r>
        <w:rPr>
          <w:rFonts w:eastAsiaTheme="minorEastAsia"/>
          <w:szCs w:val="28"/>
        </w:rPr>
        <w:t>Beispielhafte Nennung von Ereignissen, die zu den o.g. Schäden führen können (z.B. Verlust von IT-Geräten, V</w:t>
      </w:r>
      <w:r w:rsidRPr="004F2163">
        <w:rPr>
          <w:rFonts w:cs="Calibri"/>
        </w:rPr>
        <w:t>ersehentliche Löschung oder Vernichtung von Daten)</w:t>
      </w:r>
    </w:p>
    <w:p w14:paraId="6906C775" w14:textId="77777777" w:rsidR="00DB3241" w:rsidRPr="00083189" w:rsidRDefault="00DB3241" w:rsidP="00DB3241">
      <w:pPr>
        <w:pStyle w:val="Listenabsatz"/>
        <w:numPr>
          <w:ilvl w:val="2"/>
          <w:numId w:val="49"/>
        </w:numPr>
        <w:spacing w:before="120" w:line="240" w:lineRule="auto"/>
        <w:ind w:left="1418"/>
        <w:rPr>
          <w:rFonts w:eastAsiaTheme="minorEastAsia"/>
          <w:szCs w:val="28"/>
        </w:rPr>
      </w:pPr>
      <w:r>
        <w:rPr>
          <w:rFonts w:eastAsiaTheme="minorEastAsia"/>
          <w:szCs w:val="28"/>
        </w:rPr>
        <w:t xml:space="preserve">Darstellung der wesentlichen Quellen möglicher </w:t>
      </w:r>
      <w:r w:rsidRPr="00083189">
        <w:rPr>
          <w:rFonts w:cs="Calibri"/>
        </w:rPr>
        <w:t>Schäden (z.B. Cyberkriminelle)</w:t>
      </w:r>
    </w:p>
    <w:p w14:paraId="441ED4C1" w14:textId="77777777" w:rsidR="00DB3241" w:rsidRDefault="00DB3241" w:rsidP="00DB3241">
      <w:pPr>
        <w:pStyle w:val="Listenabsatz"/>
        <w:numPr>
          <w:ilvl w:val="1"/>
          <w:numId w:val="49"/>
        </w:numPr>
        <w:spacing w:before="120" w:line="240" w:lineRule="auto"/>
        <w:rPr>
          <w:rFonts w:eastAsiaTheme="minorEastAsia"/>
          <w:szCs w:val="28"/>
        </w:rPr>
      </w:pPr>
      <w:r>
        <w:rPr>
          <w:rFonts w:eastAsiaTheme="minorEastAsia"/>
          <w:szCs w:val="28"/>
        </w:rPr>
        <w:t>Festlegung von Stufen (z.B. von gering bis groß) der Eintrittswahrscheinlichkeit und der Schwere möglicher Schäden</w:t>
      </w:r>
    </w:p>
    <w:p w14:paraId="6DD4D69D" w14:textId="77777777" w:rsidR="00DB3241" w:rsidRDefault="00DB3241" w:rsidP="00DB3241">
      <w:pPr>
        <w:pStyle w:val="Listenabsatz"/>
        <w:numPr>
          <w:ilvl w:val="1"/>
          <w:numId w:val="49"/>
        </w:numPr>
        <w:spacing w:before="120" w:line="240" w:lineRule="auto"/>
        <w:rPr>
          <w:rFonts w:eastAsiaTheme="minorEastAsia"/>
          <w:szCs w:val="28"/>
        </w:rPr>
      </w:pPr>
      <w:r>
        <w:rPr>
          <w:rFonts w:eastAsiaTheme="minorEastAsia"/>
          <w:szCs w:val="28"/>
        </w:rPr>
        <w:t xml:space="preserve">Erläuterung der grundsätzlichen Bewertung der festgestellten Risiken nach Schwere des Schadens und Höhe der Eintrittswahrscheinlichkeit (z.B. anhand einer Skala, siehe auch </w:t>
      </w:r>
      <w:hyperlink r:id="rId13" w:history="1">
        <w:r w:rsidRPr="001B62A4">
          <w:rPr>
            <w:rStyle w:val="Hyperlink"/>
            <w:rFonts w:eastAsiaTheme="minorEastAsia"/>
            <w:szCs w:val="28"/>
          </w:rPr>
          <w:t>DSK-Kurzpapier Nr. 18</w:t>
        </w:r>
      </w:hyperlink>
      <w:r>
        <w:rPr>
          <w:rFonts w:eastAsiaTheme="minorEastAsia"/>
          <w:szCs w:val="28"/>
        </w:rPr>
        <w:t>)</w:t>
      </w:r>
    </w:p>
    <w:p w14:paraId="193A3176" w14:textId="77777777" w:rsidR="00DB3241" w:rsidRPr="00083189" w:rsidRDefault="00DB3241" w:rsidP="00DB3241">
      <w:pPr>
        <w:pStyle w:val="Listenabsatz"/>
        <w:numPr>
          <w:ilvl w:val="1"/>
          <w:numId w:val="49"/>
        </w:numPr>
        <w:spacing w:before="120" w:line="240" w:lineRule="auto"/>
        <w:rPr>
          <w:rFonts w:eastAsiaTheme="minorEastAsia"/>
          <w:b/>
          <w:szCs w:val="28"/>
        </w:rPr>
      </w:pPr>
      <w:r>
        <w:rPr>
          <w:rFonts w:eastAsiaTheme="minorEastAsia"/>
          <w:szCs w:val="28"/>
        </w:rPr>
        <w:t>Darstellung der grundsätzlichen Behandlung der Risiken auf den verschiedenen Risiko-Levels („gering“, „normal“, „hoch“).</w:t>
      </w:r>
    </w:p>
    <w:p w14:paraId="6888290C" w14:textId="77777777" w:rsidR="00DB3241" w:rsidRDefault="00DB3241" w:rsidP="00DB3241">
      <w:pPr>
        <w:pStyle w:val="berschrift1"/>
        <w:ind w:left="432" w:hanging="432"/>
        <w:rPr>
          <w:rFonts w:cstheme="majorHAnsi"/>
          <w:b/>
        </w:rPr>
      </w:pPr>
      <w:r>
        <w:rPr>
          <w:rFonts w:cstheme="majorHAnsi"/>
        </w:rPr>
        <w:t xml:space="preserve">Durchführung der </w:t>
      </w:r>
      <w:r w:rsidRPr="00B441E0">
        <w:rPr>
          <w:rFonts w:cstheme="majorHAnsi"/>
        </w:rPr>
        <w:t>Datenschutz-Folgenabschätzung</w:t>
      </w:r>
      <w:bookmarkEnd w:id="7"/>
    </w:p>
    <w:p w14:paraId="4A9B9F81" w14:textId="77777777" w:rsidR="00DB3241" w:rsidRPr="00974F7D" w:rsidRDefault="00DB3241" w:rsidP="00DB3241">
      <w:pPr>
        <w:pStyle w:val="Listenabsatz"/>
        <w:numPr>
          <w:ilvl w:val="0"/>
          <w:numId w:val="49"/>
        </w:numPr>
        <w:spacing w:before="120" w:line="240" w:lineRule="auto"/>
        <w:rPr>
          <w:rFonts w:eastAsiaTheme="minorEastAsia"/>
          <w:szCs w:val="28"/>
        </w:rPr>
      </w:pPr>
      <w:r w:rsidRPr="00974F7D">
        <w:rPr>
          <w:rFonts w:eastAsiaTheme="minorEastAsia"/>
          <w:szCs w:val="28"/>
        </w:rPr>
        <w:t>Auflistung</w:t>
      </w:r>
      <w:r>
        <w:rPr>
          <w:rFonts w:eastAsiaTheme="minorEastAsia"/>
          <w:szCs w:val="28"/>
        </w:rPr>
        <w:t>,</w:t>
      </w:r>
      <w:r w:rsidRPr="00974F7D">
        <w:rPr>
          <w:rFonts w:eastAsiaTheme="minorEastAsia"/>
          <w:szCs w:val="28"/>
        </w:rPr>
        <w:t xml:space="preserve"> wann zwingend eine Datenschutz-Folgenabschätzungen durchzuführen ist, </w:t>
      </w:r>
      <w:r>
        <w:rPr>
          <w:rFonts w:eastAsiaTheme="minorEastAsia"/>
          <w:szCs w:val="28"/>
        </w:rPr>
        <w:t>insbesondere</w:t>
      </w:r>
      <w:r w:rsidRPr="00974F7D">
        <w:rPr>
          <w:rFonts w:eastAsiaTheme="minorEastAsia"/>
          <w:szCs w:val="28"/>
        </w:rPr>
        <w:t xml:space="preserve"> bei Treffern auf der </w:t>
      </w:r>
      <w:hyperlink r:id="rId14" w:history="1">
        <w:r w:rsidRPr="001B62A4">
          <w:rPr>
            <w:rStyle w:val="Hyperlink"/>
            <w:rFonts w:eastAsiaTheme="minorEastAsia"/>
            <w:szCs w:val="28"/>
          </w:rPr>
          <w:t>Positivliste</w:t>
        </w:r>
      </w:hyperlink>
      <w:r w:rsidRPr="00974F7D">
        <w:rPr>
          <w:rFonts w:eastAsiaTheme="minorEastAsia"/>
          <w:szCs w:val="28"/>
        </w:rPr>
        <w:t xml:space="preserve"> oder in den gesetzlich genannten Fällen des Art. 35 Abs. 3 a bis c DSGVO</w:t>
      </w:r>
    </w:p>
    <w:p w14:paraId="4F42F227" w14:textId="77777777" w:rsidR="00DB3241" w:rsidRDefault="00DB3241" w:rsidP="00DB3241">
      <w:pPr>
        <w:pStyle w:val="Listenabsatz"/>
        <w:numPr>
          <w:ilvl w:val="0"/>
          <w:numId w:val="49"/>
        </w:numPr>
        <w:spacing w:before="120" w:line="240" w:lineRule="auto"/>
        <w:rPr>
          <w:rFonts w:eastAsiaTheme="minorEastAsia" w:cstheme="minorHAnsi"/>
          <w:szCs w:val="28"/>
        </w:rPr>
      </w:pPr>
      <w:r w:rsidRPr="0057030E">
        <w:rPr>
          <w:rFonts w:eastAsiaTheme="minorEastAsia"/>
          <w:szCs w:val="28"/>
        </w:rPr>
        <w:t xml:space="preserve">Pflichtinhalte einer DSFA, </w:t>
      </w:r>
      <w:r w:rsidRPr="0057030E">
        <w:rPr>
          <w:rFonts w:eastAsiaTheme="minorEastAsia" w:cstheme="minorHAnsi"/>
          <w:szCs w:val="28"/>
        </w:rPr>
        <w:t>Art. 35 Abs. 7 DSGVO</w:t>
      </w:r>
      <w:r>
        <w:rPr>
          <w:rFonts w:eastAsiaTheme="minorEastAsia" w:cstheme="minorHAnsi"/>
          <w:szCs w:val="28"/>
        </w:rPr>
        <w:t xml:space="preserve">, insbesondere: </w:t>
      </w:r>
    </w:p>
    <w:p w14:paraId="56509749" w14:textId="77777777" w:rsidR="00DB3241" w:rsidRDefault="00DB3241" w:rsidP="00DB3241">
      <w:pPr>
        <w:pStyle w:val="Listenabsatz"/>
        <w:numPr>
          <w:ilvl w:val="1"/>
          <w:numId w:val="49"/>
        </w:numPr>
        <w:spacing w:before="120" w:line="240" w:lineRule="auto"/>
        <w:rPr>
          <w:rFonts w:eastAsiaTheme="minorEastAsia"/>
          <w:szCs w:val="28"/>
        </w:rPr>
      </w:pPr>
      <w:r>
        <w:rPr>
          <w:rFonts w:eastAsiaTheme="minorEastAsia"/>
          <w:szCs w:val="28"/>
        </w:rPr>
        <w:t xml:space="preserve">detaillierte </w:t>
      </w:r>
      <w:r w:rsidRPr="00987639">
        <w:rPr>
          <w:rFonts w:eastAsiaTheme="minorEastAsia"/>
          <w:szCs w:val="28"/>
        </w:rPr>
        <w:t>Beschreibung des Verarbeitungsvorgangs</w:t>
      </w:r>
      <w:r>
        <w:rPr>
          <w:rFonts w:eastAsiaTheme="minorEastAsia"/>
          <w:szCs w:val="28"/>
        </w:rPr>
        <w:t xml:space="preserve"> und </w:t>
      </w:r>
      <w:r w:rsidRPr="00987639">
        <w:rPr>
          <w:rFonts w:eastAsiaTheme="minorEastAsia"/>
          <w:szCs w:val="28"/>
        </w:rPr>
        <w:t xml:space="preserve">welche Angaben für die </w:t>
      </w:r>
      <w:r>
        <w:rPr>
          <w:rFonts w:eastAsiaTheme="minorEastAsia"/>
          <w:szCs w:val="28"/>
        </w:rPr>
        <w:t xml:space="preserve">detaillierte </w:t>
      </w:r>
      <w:r w:rsidRPr="00987639">
        <w:rPr>
          <w:rFonts w:eastAsiaTheme="minorEastAsia"/>
          <w:szCs w:val="28"/>
        </w:rPr>
        <w:t>Beschreibung notwendig</w:t>
      </w:r>
      <w:r>
        <w:rPr>
          <w:rFonts w:eastAsiaTheme="minorEastAsia"/>
          <w:szCs w:val="28"/>
        </w:rPr>
        <w:t xml:space="preserve"> sind (z.B. Art, Umfang, Umstände, Zwecke der Verarbeitung, Empfänger, Speicherfrist usw.).</w:t>
      </w:r>
    </w:p>
    <w:p w14:paraId="6CC8B28B" w14:textId="77777777" w:rsidR="00DB3241" w:rsidRPr="00987639" w:rsidRDefault="00DB3241" w:rsidP="00DB3241">
      <w:pPr>
        <w:pStyle w:val="Listenabsatz"/>
        <w:numPr>
          <w:ilvl w:val="1"/>
          <w:numId w:val="49"/>
        </w:numPr>
        <w:spacing w:before="120" w:line="240" w:lineRule="auto"/>
        <w:rPr>
          <w:rFonts w:eastAsiaTheme="minorEastAsia"/>
          <w:szCs w:val="28"/>
        </w:rPr>
      </w:pPr>
      <w:r>
        <w:rPr>
          <w:rFonts w:eastAsiaTheme="minorEastAsia"/>
          <w:szCs w:val="28"/>
        </w:rPr>
        <w:t>Bewertung der Verhältnismäßigkeit (insbes. Rechtmäßigkeit, Zweckbindung, Datenminimierung, Speicherbegrenzung, Rechte der Betroffenen, Auftragsverarbeitung, Garantien in Bezug auf Drittstaaten).</w:t>
      </w:r>
    </w:p>
    <w:p w14:paraId="6A767555" w14:textId="77777777" w:rsidR="00DB3241" w:rsidRPr="00987639" w:rsidRDefault="00DB3241" w:rsidP="00DB3241">
      <w:pPr>
        <w:pStyle w:val="Listenabsatz"/>
        <w:numPr>
          <w:ilvl w:val="1"/>
          <w:numId w:val="49"/>
        </w:numPr>
        <w:spacing w:before="120" w:line="240" w:lineRule="auto"/>
        <w:rPr>
          <w:rFonts w:eastAsiaTheme="minorEastAsia"/>
          <w:szCs w:val="28"/>
        </w:rPr>
      </w:pPr>
      <w:r>
        <w:rPr>
          <w:rFonts w:eastAsiaTheme="minorEastAsia"/>
          <w:szCs w:val="28"/>
        </w:rPr>
        <w:t xml:space="preserve">Detaillierte Bestimmung und Bewertung der festgestellten </w:t>
      </w:r>
      <w:r w:rsidRPr="00987639">
        <w:rPr>
          <w:rFonts w:eastAsiaTheme="minorEastAsia"/>
          <w:szCs w:val="28"/>
        </w:rPr>
        <w:t>Risiken</w:t>
      </w:r>
      <w:r>
        <w:rPr>
          <w:rFonts w:eastAsiaTheme="minorEastAsia"/>
          <w:szCs w:val="28"/>
        </w:rPr>
        <w:t xml:space="preserve"> </w:t>
      </w:r>
      <w:r w:rsidRPr="00705D9A">
        <w:rPr>
          <w:rFonts w:eastAsiaTheme="minorEastAsia"/>
          <w:szCs w:val="28"/>
        </w:rPr>
        <w:t>für die Rechte und Freiheiten der betroffenen Personen</w:t>
      </w:r>
      <w:r>
        <w:rPr>
          <w:rFonts w:eastAsiaTheme="minorEastAsia"/>
          <w:szCs w:val="28"/>
        </w:rPr>
        <w:t>, ggf. Identifizieren weiterer Risiken.</w:t>
      </w:r>
    </w:p>
    <w:p w14:paraId="5D801B03" w14:textId="77777777" w:rsidR="00DB3241" w:rsidRDefault="00DB3241" w:rsidP="00DB3241">
      <w:pPr>
        <w:pStyle w:val="Listenabsatz"/>
        <w:numPr>
          <w:ilvl w:val="1"/>
          <w:numId w:val="49"/>
        </w:numPr>
        <w:spacing w:before="120" w:line="240" w:lineRule="auto"/>
        <w:rPr>
          <w:rFonts w:eastAsiaTheme="minorEastAsia"/>
          <w:szCs w:val="28"/>
        </w:rPr>
      </w:pPr>
      <w:r>
        <w:rPr>
          <w:rFonts w:eastAsiaTheme="minorEastAsia"/>
          <w:szCs w:val="28"/>
        </w:rPr>
        <w:t>Beschreibung der Pflicht zur Reduzierung der Risiken und wie mit Restrisiken umgegangen wird.</w:t>
      </w:r>
    </w:p>
    <w:p w14:paraId="169939D4" w14:textId="77777777" w:rsidR="00DB3241" w:rsidRPr="001E376C" w:rsidRDefault="00DB3241" w:rsidP="00DB3241">
      <w:pPr>
        <w:pStyle w:val="berschrift1"/>
        <w:ind w:left="432" w:hanging="432"/>
        <w:rPr>
          <w:rFonts w:cstheme="majorHAnsi"/>
          <w:b/>
        </w:rPr>
      </w:pPr>
      <w:r w:rsidRPr="001E376C">
        <w:rPr>
          <w:rFonts w:cstheme="majorHAnsi"/>
        </w:rPr>
        <w:t>Aufgaben des Durchführungsverantwortlichen</w:t>
      </w:r>
    </w:p>
    <w:p w14:paraId="0F4C3789" w14:textId="77777777" w:rsidR="00DB3241" w:rsidRPr="000863D3" w:rsidRDefault="00DB3241" w:rsidP="00DB3241">
      <w:pPr>
        <w:rPr>
          <w:rFonts w:eastAsiaTheme="minorEastAsia"/>
          <w:szCs w:val="28"/>
        </w:rPr>
      </w:pPr>
      <w:r w:rsidRPr="000863D3">
        <w:rPr>
          <w:rFonts w:eastAsiaTheme="minorEastAsia"/>
          <w:szCs w:val="28"/>
        </w:rPr>
        <w:t>Beschreibung der Aufgaben (</w:t>
      </w:r>
      <w:r>
        <w:rPr>
          <w:rFonts w:eastAsiaTheme="minorEastAsia"/>
          <w:szCs w:val="28"/>
        </w:rPr>
        <w:t xml:space="preserve">Zusammenstellung des DSFA-Teams, Prüfung der DSFA, Risikoanalyse, Veranlassung von Maßnahmen zur Risikoreduzierung, </w:t>
      </w:r>
      <w:r w:rsidRPr="000863D3">
        <w:rPr>
          <w:rFonts w:eastAsiaTheme="minorEastAsia"/>
          <w:szCs w:val="28"/>
        </w:rPr>
        <w:t>Dokumentation de</w:t>
      </w:r>
      <w:r>
        <w:rPr>
          <w:rFonts w:eastAsiaTheme="minorEastAsia"/>
          <w:szCs w:val="28"/>
        </w:rPr>
        <w:t>r</w:t>
      </w:r>
      <w:r w:rsidRPr="000863D3">
        <w:rPr>
          <w:rFonts w:eastAsiaTheme="minorEastAsia"/>
          <w:szCs w:val="28"/>
        </w:rPr>
        <w:t xml:space="preserve"> </w:t>
      </w:r>
      <w:r>
        <w:rPr>
          <w:rFonts w:eastAsiaTheme="minorEastAsia"/>
          <w:szCs w:val="28"/>
        </w:rPr>
        <w:t>DSFA</w:t>
      </w:r>
      <w:r w:rsidRPr="000863D3">
        <w:rPr>
          <w:rFonts w:eastAsiaTheme="minorEastAsia"/>
          <w:szCs w:val="28"/>
        </w:rPr>
        <w:t xml:space="preserve">, </w:t>
      </w:r>
      <w:r>
        <w:rPr>
          <w:rFonts w:eastAsiaTheme="minorEastAsia"/>
          <w:szCs w:val="28"/>
        </w:rPr>
        <w:t xml:space="preserve">Beteiligung des DSB </w:t>
      </w:r>
      <w:r w:rsidRPr="000863D3">
        <w:rPr>
          <w:rFonts w:eastAsiaTheme="minorEastAsia"/>
          <w:szCs w:val="28"/>
        </w:rPr>
        <w:t>etc.).</w:t>
      </w:r>
    </w:p>
    <w:p w14:paraId="79FB3B1D" w14:textId="77777777" w:rsidR="00DB3241" w:rsidRPr="001543B4" w:rsidRDefault="00DB3241" w:rsidP="00DB3241">
      <w:pPr>
        <w:rPr>
          <w:rFonts w:eastAsiaTheme="minorEastAsia"/>
          <w:szCs w:val="28"/>
        </w:rPr>
      </w:pPr>
      <w:r w:rsidRPr="001543B4">
        <w:rPr>
          <w:rFonts w:eastAsiaTheme="minorEastAsia"/>
          <w:szCs w:val="28"/>
        </w:rPr>
        <w:t xml:space="preserve">Wichtig ist, dass alle relevanten Fachkreise an der DSFA beteiligt werden, um eine möglichst vollständige Beurteilung der Risiken und Abhilfemaßnahmen gewährleisten zu können. </w:t>
      </w:r>
    </w:p>
    <w:p w14:paraId="3617B827" w14:textId="77777777" w:rsidR="00DB3241" w:rsidRPr="00E70C57" w:rsidRDefault="00DB3241" w:rsidP="00DB3241">
      <w:pPr>
        <w:pStyle w:val="berschrift1"/>
        <w:ind w:left="432" w:hanging="432"/>
        <w:rPr>
          <w:rFonts w:cstheme="majorHAnsi"/>
          <w:b/>
        </w:rPr>
      </w:pPr>
      <w:r w:rsidRPr="00E70C57">
        <w:rPr>
          <w:rFonts w:cstheme="majorHAnsi"/>
        </w:rPr>
        <w:lastRenderedPageBreak/>
        <w:t>Dokumentation und Nachbereitung</w:t>
      </w:r>
    </w:p>
    <w:p w14:paraId="11100377" w14:textId="0B679E46" w:rsidR="006E35FD" w:rsidRPr="00DB3241" w:rsidRDefault="00DB3241" w:rsidP="00DB3241">
      <w:pPr>
        <w:rPr>
          <w:rFonts w:eastAsiaTheme="minorEastAsia"/>
          <w:szCs w:val="28"/>
        </w:rPr>
      </w:pPr>
      <w:r>
        <w:rPr>
          <w:rFonts w:eastAsiaTheme="minorEastAsia"/>
          <w:szCs w:val="28"/>
        </w:rPr>
        <w:t>Die Datenschutz-Folgenabschätzung</w:t>
      </w:r>
      <w:r w:rsidRPr="000863D3">
        <w:rPr>
          <w:rFonts w:eastAsiaTheme="minorEastAsia"/>
          <w:szCs w:val="28"/>
        </w:rPr>
        <w:t xml:space="preserve"> ist vollständig und aussagekräftig zu dokumentieren. Der in der Richtlinie beschriebene Prozess ist zu bewerten und zu dokumentieren. </w:t>
      </w:r>
      <w:bookmarkEnd w:id="8"/>
      <w:bookmarkEnd w:id="9"/>
      <w:bookmarkEnd w:id="10"/>
      <w:bookmarkEnd w:id="11"/>
    </w:p>
    <w:sectPr w:rsidR="006E35FD" w:rsidRPr="00DB3241" w:rsidSect="00203DB5">
      <w:footerReference w:type="default" r:id="rId15"/>
      <w:headerReference w:type="first" r:id="rId16"/>
      <w:pgSz w:w="11906" w:h="16838"/>
      <w:pgMar w:top="1134"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65E1C" w14:textId="77777777" w:rsidR="0093648E" w:rsidRDefault="0093648E" w:rsidP="00A34776">
      <w:pPr>
        <w:spacing w:after="0" w:line="240" w:lineRule="auto"/>
      </w:pPr>
      <w:r>
        <w:separator/>
      </w:r>
    </w:p>
  </w:endnote>
  <w:endnote w:type="continuationSeparator" w:id="0">
    <w:p w14:paraId="4CBDE3E6" w14:textId="77777777" w:rsidR="0093648E" w:rsidRDefault="0093648E"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003072"/>
      <w:docPartObj>
        <w:docPartGallery w:val="Page Numbers (Bottom of Page)"/>
        <w:docPartUnique/>
      </w:docPartObj>
    </w:sdtPr>
    <w:sdtEndPr/>
    <w:sdtContent>
      <w:p w14:paraId="737C5F99" w14:textId="6505F031" w:rsidR="0067376E" w:rsidRDefault="0067376E" w:rsidP="0067376E">
        <w:pPr>
          <w:pStyle w:val="Fuzeile"/>
          <w:jc w:val="center"/>
        </w:pPr>
        <w:r>
          <w:fldChar w:fldCharType="begin"/>
        </w:r>
        <w:r>
          <w:instrText>PAGE   \* MERGEFORMAT</w:instrText>
        </w:r>
        <w:r>
          <w:fldChar w:fldCharType="separate"/>
        </w:r>
        <w:r w:rsidR="005F75A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AEBDB" w14:textId="77777777" w:rsidR="0093648E" w:rsidRDefault="0093648E" w:rsidP="00A34776">
      <w:pPr>
        <w:spacing w:after="0" w:line="240" w:lineRule="auto"/>
      </w:pPr>
      <w:r>
        <w:separator/>
      </w:r>
    </w:p>
  </w:footnote>
  <w:footnote w:type="continuationSeparator" w:id="0">
    <w:p w14:paraId="22D846BF" w14:textId="77777777" w:rsidR="0093648E" w:rsidRDefault="0093648E"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E10E" w14:textId="37578D7F" w:rsidR="00E94414" w:rsidRDefault="001A5D27" w:rsidP="001A5D27">
    <w:pPr>
      <w:pStyle w:val="Kopfzeile"/>
    </w:pPr>
    <w:r>
      <w:t xml:space="preserve">Version: </w:t>
    </w:r>
    <w:r w:rsidR="00DB3241">
      <w:t>1</w:t>
    </w:r>
    <w:r>
      <w:t xml:space="preserve">.0 | Stand: </w:t>
    </w:r>
    <w:r w:rsidR="00F12B8B">
      <w:t>1</w:t>
    </w:r>
    <w:r w:rsidR="00DB3241">
      <w:t>5</w:t>
    </w:r>
    <w:r>
      <w:t xml:space="preserve">. </w:t>
    </w:r>
    <w:r w:rsidR="006F7763">
      <w:t>Ju</w:t>
    </w:r>
    <w:r w:rsidR="00DB3241">
      <w:t>l</w:t>
    </w:r>
    <w:r w:rsidR="006F7763">
      <w:t>i</w:t>
    </w:r>
    <w:r>
      <w:t xml:space="preserve"> 201</w:t>
    </w:r>
    <w:r w:rsidR="006F7763">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732"/>
    <w:multiLevelType w:val="hybridMultilevel"/>
    <w:tmpl w:val="CAF0090C"/>
    <w:lvl w:ilvl="0" w:tplc="04070001">
      <w:start w:val="1"/>
      <w:numFmt w:val="bullet"/>
      <w:lvlText w:val=""/>
      <w:lvlJc w:val="left"/>
      <w:pPr>
        <w:ind w:left="307" w:hanging="706"/>
      </w:pPr>
      <w:rPr>
        <w:rFonts w:ascii="Symbol" w:hAnsi="Symbol" w:hint="default"/>
      </w:rPr>
    </w:lvl>
    <w:lvl w:ilvl="1" w:tplc="04070003" w:tentative="1">
      <w:start w:val="1"/>
      <w:numFmt w:val="bullet"/>
      <w:lvlText w:val="o"/>
      <w:lvlJc w:val="left"/>
      <w:pPr>
        <w:ind w:left="681" w:hanging="360"/>
      </w:pPr>
      <w:rPr>
        <w:rFonts w:ascii="Courier New" w:hAnsi="Courier New" w:cs="Courier New" w:hint="default"/>
      </w:rPr>
    </w:lvl>
    <w:lvl w:ilvl="2" w:tplc="04070005" w:tentative="1">
      <w:start w:val="1"/>
      <w:numFmt w:val="bullet"/>
      <w:lvlText w:val=""/>
      <w:lvlJc w:val="left"/>
      <w:pPr>
        <w:ind w:left="1401" w:hanging="360"/>
      </w:pPr>
      <w:rPr>
        <w:rFonts w:ascii="Wingdings" w:hAnsi="Wingdings" w:hint="default"/>
      </w:rPr>
    </w:lvl>
    <w:lvl w:ilvl="3" w:tplc="04070001" w:tentative="1">
      <w:start w:val="1"/>
      <w:numFmt w:val="bullet"/>
      <w:lvlText w:val=""/>
      <w:lvlJc w:val="left"/>
      <w:pPr>
        <w:ind w:left="2121" w:hanging="360"/>
      </w:pPr>
      <w:rPr>
        <w:rFonts w:ascii="Symbol" w:hAnsi="Symbol" w:hint="default"/>
      </w:rPr>
    </w:lvl>
    <w:lvl w:ilvl="4" w:tplc="04070003" w:tentative="1">
      <w:start w:val="1"/>
      <w:numFmt w:val="bullet"/>
      <w:lvlText w:val="o"/>
      <w:lvlJc w:val="left"/>
      <w:pPr>
        <w:ind w:left="2841" w:hanging="360"/>
      </w:pPr>
      <w:rPr>
        <w:rFonts w:ascii="Courier New" w:hAnsi="Courier New" w:cs="Courier New" w:hint="default"/>
      </w:rPr>
    </w:lvl>
    <w:lvl w:ilvl="5" w:tplc="04070005" w:tentative="1">
      <w:start w:val="1"/>
      <w:numFmt w:val="bullet"/>
      <w:lvlText w:val=""/>
      <w:lvlJc w:val="left"/>
      <w:pPr>
        <w:ind w:left="3561" w:hanging="360"/>
      </w:pPr>
      <w:rPr>
        <w:rFonts w:ascii="Wingdings" w:hAnsi="Wingdings" w:hint="default"/>
      </w:rPr>
    </w:lvl>
    <w:lvl w:ilvl="6" w:tplc="04070001" w:tentative="1">
      <w:start w:val="1"/>
      <w:numFmt w:val="bullet"/>
      <w:lvlText w:val=""/>
      <w:lvlJc w:val="left"/>
      <w:pPr>
        <w:ind w:left="4281" w:hanging="360"/>
      </w:pPr>
      <w:rPr>
        <w:rFonts w:ascii="Symbol" w:hAnsi="Symbol" w:hint="default"/>
      </w:rPr>
    </w:lvl>
    <w:lvl w:ilvl="7" w:tplc="04070003" w:tentative="1">
      <w:start w:val="1"/>
      <w:numFmt w:val="bullet"/>
      <w:lvlText w:val="o"/>
      <w:lvlJc w:val="left"/>
      <w:pPr>
        <w:ind w:left="5001" w:hanging="360"/>
      </w:pPr>
      <w:rPr>
        <w:rFonts w:ascii="Courier New" w:hAnsi="Courier New" w:cs="Courier New" w:hint="default"/>
      </w:rPr>
    </w:lvl>
    <w:lvl w:ilvl="8" w:tplc="04070005" w:tentative="1">
      <w:start w:val="1"/>
      <w:numFmt w:val="bullet"/>
      <w:lvlText w:val=""/>
      <w:lvlJc w:val="left"/>
      <w:pPr>
        <w:ind w:left="5721" w:hanging="360"/>
      </w:pPr>
      <w:rPr>
        <w:rFonts w:ascii="Wingdings" w:hAnsi="Wingdings" w:hint="default"/>
      </w:rPr>
    </w:lvl>
  </w:abstractNum>
  <w:abstractNum w:abstractNumId="1" w15:restartNumberingAfterBreak="0">
    <w:nsid w:val="021C2AFF"/>
    <w:multiLevelType w:val="hybridMultilevel"/>
    <w:tmpl w:val="5F8628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E23EB8"/>
    <w:multiLevelType w:val="hybridMultilevel"/>
    <w:tmpl w:val="96A6EB98"/>
    <w:lvl w:ilvl="0" w:tplc="034CC470">
      <w:numFmt w:val="bullet"/>
      <w:lvlText w:val="•"/>
      <w:lvlJc w:val="left"/>
      <w:pPr>
        <w:ind w:left="878" w:hanging="706"/>
      </w:pPr>
      <w:rPr>
        <w:rFonts w:ascii="Calibri" w:eastAsia="Times New Roman" w:hAnsi="Calibri" w:cs="Calibri" w:hint="default"/>
      </w:rPr>
    </w:lvl>
    <w:lvl w:ilvl="1" w:tplc="04070003" w:tentative="1">
      <w:start w:val="1"/>
      <w:numFmt w:val="bullet"/>
      <w:lvlText w:val="o"/>
      <w:lvlJc w:val="left"/>
      <w:pPr>
        <w:ind w:left="1252" w:hanging="360"/>
      </w:pPr>
      <w:rPr>
        <w:rFonts w:ascii="Courier New" w:hAnsi="Courier New" w:cs="Courier New" w:hint="default"/>
      </w:rPr>
    </w:lvl>
    <w:lvl w:ilvl="2" w:tplc="04070005" w:tentative="1">
      <w:start w:val="1"/>
      <w:numFmt w:val="bullet"/>
      <w:lvlText w:val=""/>
      <w:lvlJc w:val="left"/>
      <w:pPr>
        <w:ind w:left="1972" w:hanging="360"/>
      </w:pPr>
      <w:rPr>
        <w:rFonts w:ascii="Wingdings" w:hAnsi="Wingdings" w:hint="default"/>
      </w:rPr>
    </w:lvl>
    <w:lvl w:ilvl="3" w:tplc="04070001" w:tentative="1">
      <w:start w:val="1"/>
      <w:numFmt w:val="bullet"/>
      <w:lvlText w:val=""/>
      <w:lvlJc w:val="left"/>
      <w:pPr>
        <w:ind w:left="2692" w:hanging="360"/>
      </w:pPr>
      <w:rPr>
        <w:rFonts w:ascii="Symbol" w:hAnsi="Symbol" w:hint="default"/>
      </w:rPr>
    </w:lvl>
    <w:lvl w:ilvl="4" w:tplc="04070003" w:tentative="1">
      <w:start w:val="1"/>
      <w:numFmt w:val="bullet"/>
      <w:lvlText w:val="o"/>
      <w:lvlJc w:val="left"/>
      <w:pPr>
        <w:ind w:left="3412" w:hanging="360"/>
      </w:pPr>
      <w:rPr>
        <w:rFonts w:ascii="Courier New" w:hAnsi="Courier New" w:cs="Courier New" w:hint="default"/>
      </w:rPr>
    </w:lvl>
    <w:lvl w:ilvl="5" w:tplc="04070005" w:tentative="1">
      <w:start w:val="1"/>
      <w:numFmt w:val="bullet"/>
      <w:lvlText w:val=""/>
      <w:lvlJc w:val="left"/>
      <w:pPr>
        <w:ind w:left="4132" w:hanging="360"/>
      </w:pPr>
      <w:rPr>
        <w:rFonts w:ascii="Wingdings" w:hAnsi="Wingdings" w:hint="default"/>
      </w:rPr>
    </w:lvl>
    <w:lvl w:ilvl="6" w:tplc="04070001" w:tentative="1">
      <w:start w:val="1"/>
      <w:numFmt w:val="bullet"/>
      <w:lvlText w:val=""/>
      <w:lvlJc w:val="left"/>
      <w:pPr>
        <w:ind w:left="4852" w:hanging="360"/>
      </w:pPr>
      <w:rPr>
        <w:rFonts w:ascii="Symbol" w:hAnsi="Symbol" w:hint="default"/>
      </w:rPr>
    </w:lvl>
    <w:lvl w:ilvl="7" w:tplc="04070003" w:tentative="1">
      <w:start w:val="1"/>
      <w:numFmt w:val="bullet"/>
      <w:lvlText w:val="o"/>
      <w:lvlJc w:val="left"/>
      <w:pPr>
        <w:ind w:left="5572" w:hanging="360"/>
      </w:pPr>
      <w:rPr>
        <w:rFonts w:ascii="Courier New" w:hAnsi="Courier New" w:cs="Courier New" w:hint="default"/>
      </w:rPr>
    </w:lvl>
    <w:lvl w:ilvl="8" w:tplc="04070005" w:tentative="1">
      <w:start w:val="1"/>
      <w:numFmt w:val="bullet"/>
      <w:lvlText w:val=""/>
      <w:lvlJc w:val="left"/>
      <w:pPr>
        <w:ind w:left="6292" w:hanging="360"/>
      </w:pPr>
      <w:rPr>
        <w:rFonts w:ascii="Wingdings" w:hAnsi="Wingdings" w:hint="default"/>
      </w:rPr>
    </w:lvl>
  </w:abstractNum>
  <w:abstractNum w:abstractNumId="3" w15:restartNumberingAfterBreak="0">
    <w:nsid w:val="04777183"/>
    <w:multiLevelType w:val="hybridMultilevel"/>
    <w:tmpl w:val="E0641D0E"/>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2405C9"/>
    <w:multiLevelType w:val="hybridMultilevel"/>
    <w:tmpl w:val="615A5222"/>
    <w:lvl w:ilvl="0" w:tplc="034CC470">
      <w:numFmt w:val="bullet"/>
      <w:lvlText w:val="•"/>
      <w:lvlJc w:val="left"/>
      <w:pPr>
        <w:ind w:left="792" w:hanging="706"/>
      </w:pPr>
      <w:rPr>
        <w:rFonts w:ascii="Calibri" w:eastAsia="Times New Roman" w:hAnsi="Calibri" w:cs="Calibri" w:hint="default"/>
      </w:rPr>
    </w:lvl>
    <w:lvl w:ilvl="1" w:tplc="04070003">
      <w:start w:val="1"/>
      <w:numFmt w:val="bullet"/>
      <w:lvlText w:val="o"/>
      <w:lvlJc w:val="left"/>
      <w:pPr>
        <w:ind w:left="1166" w:hanging="360"/>
      </w:pPr>
      <w:rPr>
        <w:rFonts w:ascii="Courier New" w:hAnsi="Courier New" w:cs="Courier New" w:hint="default"/>
      </w:rPr>
    </w:lvl>
    <w:lvl w:ilvl="2" w:tplc="04070005" w:tentative="1">
      <w:start w:val="1"/>
      <w:numFmt w:val="bullet"/>
      <w:lvlText w:val=""/>
      <w:lvlJc w:val="left"/>
      <w:pPr>
        <w:ind w:left="1886" w:hanging="360"/>
      </w:pPr>
      <w:rPr>
        <w:rFonts w:ascii="Wingdings" w:hAnsi="Wingdings" w:hint="default"/>
      </w:rPr>
    </w:lvl>
    <w:lvl w:ilvl="3" w:tplc="04070001" w:tentative="1">
      <w:start w:val="1"/>
      <w:numFmt w:val="bullet"/>
      <w:lvlText w:val=""/>
      <w:lvlJc w:val="left"/>
      <w:pPr>
        <w:ind w:left="2606" w:hanging="360"/>
      </w:pPr>
      <w:rPr>
        <w:rFonts w:ascii="Symbol" w:hAnsi="Symbol" w:hint="default"/>
      </w:rPr>
    </w:lvl>
    <w:lvl w:ilvl="4" w:tplc="04070003" w:tentative="1">
      <w:start w:val="1"/>
      <w:numFmt w:val="bullet"/>
      <w:lvlText w:val="o"/>
      <w:lvlJc w:val="left"/>
      <w:pPr>
        <w:ind w:left="3326" w:hanging="360"/>
      </w:pPr>
      <w:rPr>
        <w:rFonts w:ascii="Courier New" w:hAnsi="Courier New" w:cs="Courier New" w:hint="default"/>
      </w:rPr>
    </w:lvl>
    <w:lvl w:ilvl="5" w:tplc="04070005" w:tentative="1">
      <w:start w:val="1"/>
      <w:numFmt w:val="bullet"/>
      <w:lvlText w:val=""/>
      <w:lvlJc w:val="left"/>
      <w:pPr>
        <w:ind w:left="4046" w:hanging="360"/>
      </w:pPr>
      <w:rPr>
        <w:rFonts w:ascii="Wingdings" w:hAnsi="Wingdings" w:hint="default"/>
      </w:rPr>
    </w:lvl>
    <w:lvl w:ilvl="6" w:tplc="04070001" w:tentative="1">
      <w:start w:val="1"/>
      <w:numFmt w:val="bullet"/>
      <w:lvlText w:val=""/>
      <w:lvlJc w:val="left"/>
      <w:pPr>
        <w:ind w:left="4766" w:hanging="360"/>
      </w:pPr>
      <w:rPr>
        <w:rFonts w:ascii="Symbol" w:hAnsi="Symbol" w:hint="default"/>
      </w:rPr>
    </w:lvl>
    <w:lvl w:ilvl="7" w:tplc="04070003" w:tentative="1">
      <w:start w:val="1"/>
      <w:numFmt w:val="bullet"/>
      <w:lvlText w:val="o"/>
      <w:lvlJc w:val="left"/>
      <w:pPr>
        <w:ind w:left="5486" w:hanging="360"/>
      </w:pPr>
      <w:rPr>
        <w:rFonts w:ascii="Courier New" w:hAnsi="Courier New" w:cs="Courier New" w:hint="default"/>
      </w:rPr>
    </w:lvl>
    <w:lvl w:ilvl="8" w:tplc="04070005" w:tentative="1">
      <w:start w:val="1"/>
      <w:numFmt w:val="bullet"/>
      <w:lvlText w:val=""/>
      <w:lvlJc w:val="left"/>
      <w:pPr>
        <w:ind w:left="6206" w:hanging="360"/>
      </w:pPr>
      <w:rPr>
        <w:rFonts w:ascii="Wingdings" w:hAnsi="Wingdings" w:hint="default"/>
      </w:rPr>
    </w:lvl>
  </w:abstractNum>
  <w:abstractNum w:abstractNumId="5"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D7520B"/>
    <w:multiLevelType w:val="hybridMultilevel"/>
    <w:tmpl w:val="8D6009A8"/>
    <w:lvl w:ilvl="0" w:tplc="034CC470">
      <w:numFmt w:val="bullet"/>
      <w:lvlText w:val="•"/>
      <w:lvlJc w:val="left"/>
      <w:pPr>
        <w:ind w:left="307" w:hanging="706"/>
      </w:pPr>
      <w:rPr>
        <w:rFonts w:ascii="Calibri" w:eastAsia="Times New Roman" w:hAnsi="Calibri" w:cs="Calibri" w:hint="default"/>
      </w:rPr>
    </w:lvl>
    <w:lvl w:ilvl="1" w:tplc="04070003" w:tentative="1">
      <w:start w:val="1"/>
      <w:numFmt w:val="bullet"/>
      <w:lvlText w:val="o"/>
      <w:lvlJc w:val="left"/>
      <w:pPr>
        <w:ind w:left="681" w:hanging="360"/>
      </w:pPr>
      <w:rPr>
        <w:rFonts w:ascii="Courier New" w:hAnsi="Courier New" w:cs="Courier New" w:hint="default"/>
      </w:rPr>
    </w:lvl>
    <w:lvl w:ilvl="2" w:tplc="04070005" w:tentative="1">
      <w:start w:val="1"/>
      <w:numFmt w:val="bullet"/>
      <w:lvlText w:val=""/>
      <w:lvlJc w:val="left"/>
      <w:pPr>
        <w:ind w:left="1401" w:hanging="360"/>
      </w:pPr>
      <w:rPr>
        <w:rFonts w:ascii="Wingdings" w:hAnsi="Wingdings" w:hint="default"/>
      </w:rPr>
    </w:lvl>
    <w:lvl w:ilvl="3" w:tplc="04070001" w:tentative="1">
      <w:start w:val="1"/>
      <w:numFmt w:val="bullet"/>
      <w:lvlText w:val=""/>
      <w:lvlJc w:val="left"/>
      <w:pPr>
        <w:ind w:left="2121" w:hanging="360"/>
      </w:pPr>
      <w:rPr>
        <w:rFonts w:ascii="Symbol" w:hAnsi="Symbol" w:hint="default"/>
      </w:rPr>
    </w:lvl>
    <w:lvl w:ilvl="4" w:tplc="04070003" w:tentative="1">
      <w:start w:val="1"/>
      <w:numFmt w:val="bullet"/>
      <w:lvlText w:val="o"/>
      <w:lvlJc w:val="left"/>
      <w:pPr>
        <w:ind w:left="2841" w:hanging="360"/>
      </w:pPr>
      <w:rPr>
        <w:rFonts w:ascii="Courier New" w:hAnsi="Courier New" w:cs="Courier New" w:hint="default"/>
      </w:rPr>
    </w:lvl>
    <w:lvl w:ilvl="5" w:tplc="04070005" w:tentative="1">
      <w:start w:val="1"/>
      <w:numFmt w:val="bullet"/>
      <w:lvlText w:val=""/>
      <w:lvlJc w:val="left"/>
      <w:pPr>
        <w:ind w:left="3561" w:hanging="360"/>
      </w:pPr>
      <w:rPr>
        <w:rFonts w:ascii="Wingdings" w:hAnsi="Wingdings" w:hint="default"/>
      </w:rPr>
    </w:lvl>
    <w:lvl w:ilvl="6" w:tplc="04070001" w:tentative="1">
      <w:start w:val="1"/>
      <w:numFmt w:val="bullet"/>
      <w:lvlText w:val=""/>
      <w:lvlJc w:val="left"/>
      <w:pPr>
        <w:ind w:left="4281" w:hanging="360"/>
      </w:pPr>
      <w:rPr>
        <w:rFonts w:ascii="Symbol" w:hAnsi="Symbol" w:hint="default"/>
      </w:rPr>
    </w:lvl>
    <w:lvl w:ilvl="7" w:tplc="04070003" w:tentative="1">
      <w:start w:val="1"/>
      <w:numFmt w:val="bullet"/>
      <w:lvlText w:val="o"/>
      <w:lvlJc w:val="left"/>
      <w:pPr>
        <w:ind w:left="5001" w:hanging="360"/>
      </w:pPr>
      <w:rPr>
        <w:rFonts w:ascii="Courier New" w:hAnsi="Courier New" w:cs="Courier New" w:hint="default"/>
      </w:rPr>
    </w:lvl>
    <w:lvl w:ilvl="8" w:tplc="04070005" w:tentative="1">
      <w:start w:val="1"/>
      <w:numFmt w:val="bullet"/>
      <w:lvlText w:val=""/>
      <w:lvlJc w:val="left"/>
      <w:pPr>
        <w:ind w:left="5721" w:hanging="360"/>
      </w:pPr>
      <w:rPr>
        <w:rFonts w:ascii="Wingdings" w:hAnsi="Wingdings" w:hint="default"/>
      </w:rPr>
    </w:lvl>
  </w:abstractNum>
  <w:abstractNum w:abstractNumId="8" w15:restartNumberingAfterBreak="0">
    <w:nsid w:val="1147123C"/>
    <w:multiLevelType w:val="hybridMultilevel"/>
    <w:tmpl w:val="9E90833C"/>
    <w:lvl w:ilvl="0" w:tplc="8F2056FE">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407750D"/>
    <w:multiLevelType w:val="hybridMultilevel"/>
    <w:tmpl w:val="97EA5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78A4BBE"/>
    <w:multiLevelType w:val="hybridMultilevel"/>
    <w:tmpl w:val="16AC41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8400E8F"/>
    <w:multiLevelType w:val="hybridMultilevel"/>
    <w:tmpl w:val="55503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82344B"/>
    <w:multiLevelType w:val="hybridMultilevel"/>
    <w:tmpl w:val="B1AC9E7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4009EF"/>
    <w:multiLevelType w:val="hybridMultilevel"/>
    <w:tmpl w:val="760AD9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26401D31"/>
    <w:multiLevelType w:val="hybridMultilevel"/>
    <w:tmpl w:val="131688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046F6D"/>
    <w:multiLevelType w:val="hybridMultilevel"/>
    <w:tmpl w:val="0CCEB9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4DB76FF"/>
    <w:multiLevelType w:val="hybridMultilevel"/>
    <w:tmpl w:val="CD6E7A2A"/>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54D1771"/>
    <w:multiLevelType w:val="hybridMultilevel"/>
    <w:tmpl w:val="12C68B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59A2623"/>
    <w:multiLevelType w:val="hybridMultilevel"/>
    <w:tmpl w:val="743C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646759"/>
    <w:multiLevelType w:val="hybridMultilevel"/>
    <w:tmpl w:val="F74010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8C30A9"/>
    <w:multiLevelType w:val="hybridMultilevel"/>
    <w:tmpl w:val="216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7C70965"/>
    <w:multiLevelType w:val="hybridMultilevel"/>
    <w:tmpl w:val="3D044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9786660"/>
    <w:multiLevelType w:val="hybridMultilevel"/>
    <w:tmpl w:val="557AAB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B8107F8"/>
    <w:multiLevelType w:val="hybridMultilevel"/>
    <w:tmpl w:val="BED8FEA4"/>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FE43C94"/>
    <w:multiLevelType w:val="hybridMultilevel"/>
    <w:tmpl w:val="7338A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8E2BB4"/>
    <w:multiLevelType w:val="hybridMultilevel"/>
    <w:tmpl w:val="83F01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1981C4F"/>
    <w:multiLevelType w:val="hybridMultilevel"/>
    <w:tmpl w:val="5BA062F8"/>
    <w:lvl w:ilvl="0" w:tplc="04070001">
      <w:start w:val="1"/>
      <w:numFmt w:val="bullet"/>
      <w:lvlText w:val=""/>
      <w:lvlJc w:val="left"/>
      <w:pPr>
        <w:ind w:left="994" w:hanging="360"/>
      </w:pPr>
      <w:rPr>
        <w:rFonts w:ascii="Symbol" w:hAnsi="Symbol" w:hint="default"/>
      </w:rPr>
    </w:lvl>
    <w:lvl w:ilvl="1" w:tplc="04070003" w:tentative="1">
      <w:start w:val="1"/>
      <w:numFmt w:val="bullet"/>
      <w:lvlText w:val="o"/>
      <w:lvlJc w:val="left"/>
      <w:pPr>
        <w:ind w:left="1714" w:hanging="360"/>
      </w:pPr>
      <w:rPr>
        <w:rFonts w:ascii="Courier New" w:hAnsi="Courier New" w:cs="Courier New" w:hint="default"/>
      </w:rPr>
    </w:lvl>
    <w:lvl w:ilvl="2" w:tplc="04070005" w:tentative="1">
      <w:start w:val="1"/>
      <w:numFmt w:val="bullet"/>
      <w:lvlText w:val=""/>
      <w:lvlJc w:val="left"/>
      <w:pPr>
        <w:ind w:left="2434" w:hanging="360"/>
      </w:pPr>
      <w:rPr>
        <w:rFonts w:ascii="Wingdings" w:hAnsi="Wingdings" w:hint="default"/>
      </w:rPr>
    </w:lvl>
    <w:lvl w:ilvl="3" w:tplc="04070001" w:tentative="1">
      <w:start w:val="1"/>
      <w:numFmt w:val="bullet"/>
      <w:lvlText w:val=""/>
      <w:lvlJc w:val="left"/>
      <w:pPr>
        <w:ind w:left="3154" w:hanging="360"/>
      </w:pPr>
      <w:rPr>
        <w:rFonts w:ascii="Symbol" w:hAnsi="Symbol" w:hint="default"/>
      </w:rPr>
    </w:lvl>
    <w:lvl w:ilvl="4" w:tplc="04070003" w:tentative="1">
      <w:start w:val="1"/>
      <w:numFmt w:val="bullet"/>
      <w:lvlText w:val="o"/>
      <w:lvlJc w:val="left"/>
      <w:pPr>
        <w:ind w:left="3874" w:hanging="360"/>
      </w:pPr>
      <w:rPr>
        <w:rFonts w:ascii="Courier New" w:hAnsi="Courier New" w:cs="Courier New" w:hint="default"/>
      </w:rPr>
    </w:lvl>
    <w:lvl w:ilvl="5" w:tplc="04070005" w:tentative="1">
      <w:start w:val="1"/>
      <w:numFmt w:val="bullet"/>
      <w:lvlText w:val=""/>
      <w:lvlJc w:val="left"/>
      <w:pPr>
        <w:ind w:left="4594" w:hanging="360"/>
      </w:pPr>
      <w:rPr>
        <w:rFonts w:ascii="Wingdings" w:hAnsi="Wingdings" w:hint="default"/>
      </w:rPr>
    </w:lvl>
    <w:lvl w:ilvl="6" w:tplc="04070001" w:tentative="1">
      <w:start w:val="1"/>
      <w:numFmt w:val="bullet"/>
      <w:lvlText w:val=""/>
      <w:lvlJc w:val="left"/>
      <w:pPr>
        <w:ind w:left="5314" w:hanging="360"/>
      </w:pPr>
      <w:rPr>
        <w:rFonts w:ascii="Symbol" w:hAnsi="Symbol" w:hint="default"/>
      </w:rPr>
    </w:lvl>
    <w:lvl w:ilvl="7" w:tplc="04070003" w:tentative="1">
      <w:start w:val="1"/>
      <w:numFmt w:val="bullet"/>
      <w:lvlText w:val="o"/>
      <w:lvlJc w:val="left"/>
      <w:pPr>
        <w:ind w:left="6034" w:hanging="360"/>
      </w:pPr>
      <w:rPr>
        <w:rFonts w:ascii="Courier New" w:hAnsi="Courier New" w:cs="Courier New" w:hint="default"/>
      </w:rPr>
    </w:lvl>
    <w:lvl w:ilvl="8" w:tplc="04070005" w:tentative="1">
      <w:start w:val="1"/>
      <w:numFmt w:val="bullet"/>
      <w:lvlText w:val=""/>
      <w:lvlJc w:val="left"/>
      <w:pPr>
        <w:ind w:left="6754" w:hanging="360"/>
      </w:pPr>
      <w:rPr>
        <w:rFonts w:ascii="Wingdings" w:hAnsi="Wingdings" w:hint="default"/>
      </w:rPr>
    </w:lvl>
  </w:abstractNum>
  <w:abstractNum w:abstractNumId="28" w15:restartNumberingAfterBreak="0">
    <w:nsid w:val="42090E44"/>
    <w:multiLevelType w:val="hybridMultilevel"/>
    <w:tmpl w:val="614C221E"/>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28A6A02"/>
    <w:multiLevelType w:val="hybridMultilevel"/>
    <w:tmpl w:val="14B242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E5B3E53"/>
    <w:multiLevelType w:val="hybridMultilevel"/>
    <w:tmpl w:val="5C6C12A6"/>
    <w:lvl w:ilvl="0" w:tplc="57AA80B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04A7163"/>
    <w:multiLevelType w:val="hybridMultilevel"/>
    <w:tmpl w:val="8968CD98"/>
    <w:lvl w:ilvl="0" w:tplc="034CC470">
      <w:numFmt w:val="bullet"/>
      <w:lvlText w:val="•"/>
      <w:lvlJc w:val="left"/>
      <w:pPr>
        <w:ind w:left="1066" w:hanging="706"/>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3CD2B1A"/>
    <w:multiLevelType w:val="hybridMultilevel"/>
    <w:tmpl w:val="A2900AB4"/>
    <w:lvl w:ilvl="0" w:tplc="04070001">
      <w:start w:val="1"/>
      <w:numFmt w:val="bullet"/>
      <w:lvlText w:val=""/>
      <w:lvlJc w:val="left"/>
      <w:pPr>
        <w:ind w:left="360" w:hanging="360"/>
      </w:pPr>
      <w:rPr>
        <w:rFonts w:ascii="Symbol" w:hAnsi="Symbol" w:hint="default"/>
      </w:rPr>
    </w:lvl>
    <w:lvl w:ilvl="1" w:tplc="D90E9FC6">
      <w:numFmt w:val="bullet"/>
      <w:lvlText w:val="-"/>
      <w:lvlJc w:val="left"/>
      <w:pPr>
        <w:ind w:left="1080" w:hanging="360"/>
      </w:pPr>
      <w:rPr>
        <w:rFonts w:ascii="Calibri" w:eastAsia="Times New Roman"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57827F7"/>
    <w:multiLevelType w:val="hybridMultilevel"/>
    <w:tmpl w:val="BE52D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602579B"/>
    <w:multiLevelType w:val="hybridMultilevel"/>
    <w:tmpl w:val="421E0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1456306"/>
    <w:multiLevelType w:val="hybridMultilevel"/>
    <w:tmpl w:val="43D82224"/>
    <w:lvl w:ilvl="0" w:tplc="04070001">
      <w:start w:val="1"/>
      <w:numFmt w:val="bullet"/>
      <w:lvlText w:val=""/>
      <w:lvlJc w:val="left"/>
      <w:pPr>
        <w:ind w:left="307" w:hanging="706"/>
      </w:pPr>
      <w:rPr>
        <w:rFonts w:ascii="Symbol" w:hAnsi="Symbol" w:hint="default"/>
      </w:rPr>
    </w:lvl>
    <w:lvl w:ilvl="1" w:tplc="04070003" w:tentative="1">
      <w:start w:val="1"/>
      <w:numFmt w:val="bullet"/>
      <w:lvlText w:val="o"/>
      <w:lvlJc w:val="left"/>
      <w:pPr>
        <w:ind w:left="681" w:hanging="360"/>
      </w:pPr>
      <w:rPr>
        <w:rFonts w:ascii="Courier New" w:hAnsi="Courier New" w:cs="Courier New" w:hint="default"/>
      </w:rPr>
    </w:lvl>
    <w:lvl w:ilvl="2" w:tplc="04070005" w:tentative="1">
      <w:start w:val="1"/>
      <w:numFmt w:val="bullet"/>
      <w:lvlText w:val=""/>
      <w:lvlJc w:val="left"/>
      <w:pPr>
        <w:ind w:left="1401" w:hanging="360"/>
      </w:pPr>
      <w:rPr>
        <w:rFonts w:ascii="Wingdings" w:hAnsi="Wingdings" w:hint="default"/>
      </w:rPr>
    </w:lvl>
    <w:lvl w:ilvl="3" w:tplc="04070001" w:tentative="1">
      <w:start w:val="1"/>
      <w:numFmt w:val="bullet"/>
      <w:lvlText w:val=""/>
      <w:lvlJc w:val="left"/>
      <w:pPr>
        <w:ind w:left="2121" w:hanging="360"/>
      </w:pPr>
      <w:rPr>
        <w:rFonts w:ascii="Symbol" w:hAnsi="Symbol" w:hint="default"/>
      </w:rPr>
    </w:lvl>
    <w:lvl w:ilvl="4" w:tplc="04070003" w:tentative="1">
      <w:start w:val="1"/>
      <w:numFmt w:val="bullet"/>
      <w:lvlText w:val="o"/>
      <w:lvlJc w:val="left"/>
      <w:pPr>
        <w:ind w:left="2841" w:hanging="360"/>
      </w:pPr>
      <w:rPr>
        <w:rFonts w:ascii="Courier New" w:hAnsi="Courier New" w:cs="Courier New" w:hint="default"/>
      </w:rPr>
    </w:lvl>
    <w:lvl w:ilvl="5" w:tplc="04070005" w:tentative="1">
      <w:start w:val="1"/>
      <w:numFmt w:val="bullet"/>
      <w:lvlText w:val=""/>
      <w:lvlJc w:val="left"/>
      <w:pPr>
        <w:ind w:left="3561" w:hanging="360"/>
      </w:pPr>
      <w:rPr>
        <w:rFonts w:ascii="Wingdings" w:hAnsi="Wingdings" w:hint="default"/>
      </w:rPr>
    </w:lvl>
    <w:lvl w:ilvl="6" w:tplc="04070001" w:tentative="1">
      <w:start w:val="1"/>
      <w:numFmt w:val="bullet"/>
      <w:lvlText w:val=""/>
      <w:lvlJc w:val="left"/>
      <w:pPr>
        <w:ind w:left="4281" w:hanging="360"/>
      </w:pPr>
      <w:rPr>
        <w:rFonts w:ascii="Symbol" w:hAnsi="Symbol" w:hint="default"/>
      </w:rPr>
    </w:lvl>
    <w:lvl w:ilvl="7" w:tplc="04070003" w:tentative="1">
      <w:start w:val="1"/>
      <w:numFmt w:val="bullet"/>
      <w:lvlText w:val="o"/>
      <w:lvlJc w:val="left"/>
      <w:pPr>
        <w:ind w:left="5001" w:hanging="360"/>
      </w:pPr>
      <w:rPr>
        <w:rFonts w:ascii="Courier New" w:hAnsi="Courier New" w:cs="Courier New" w:hint="default"/>
      </w:rPr>
    </w:lvl>
    <w:lvl w:ilvl="8" w:tplc="04070005" w:tentative="1">
      <w:start w:val="1"/>
      <w:numFmt w:val="bullet"/>
      <w:lvlText w:val=""/>
      <w:lvlJc w:val="left"/>
      <w:pPr>
        <w:ind w:left="5721" w:hanging="360"/>
      </w:pPr>
      <w:rPr>
        <w:rFonts w:ascii="Wingdings" w:hAnsi="Wingdings" w:hint="default"/>
      </w:rPr>
    </w:lvl>
  </w:abstractNum>
  <w:abstractNum w:abstractNumId="40" w15:restartNumberingAfterBreak="0">
    <w:nsid w:val="629C3ADF"/>
    <w:multiLevelType w:val="hybridMultilevel"/>
    <w:tmpl w:val="9FEA6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95F377B"/>
    <w:multiLevelType w:val="hybridMultilevel"/>
    <w:tmpl w:val="45F2A7FC"/>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1CD1437"/>
    <w:multiLevelType w:val="hybridMultilevel"/>
    <w:tmpl w:val="6D0A91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5A45736"/>
    <w:multiLevelType w:val="hybridMultilevel"/>
    <w:tmpl w:val="5270FC26"/>
    <w:lvl w:ilvl="0" w:tplc="908604FA">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72D49A5"/>
    <w:multiLevelType w:val="hybridMultilevel"/>
    <w:tmpl w:val="2548AC80"/>
    <w:lvl w:ilvl="0" w:tplc="04070001">
      <w:start w:val="1"/>
      <w:numFmt w:val="bullet"/>
      <w:lvlText w:val=""/>
      <w:lvlJc w:val="left"/>
      <w:pPr>
        <w:ind w:left="321" w:hanging="360"/>
      </w:pPr>
      <w:rPr>
        <w:rFonts w:ascii="Symbol" w:hAnsi="Symbol" w:hint="default"/>
      </w:rPr>
    </w:lvl>
    <w:lvl w:ilvl="1" w:tplc="04070003" w:tentative="1">
      <w:start w:val="1"/>
      <w:numFmt w:val="bullet"/>
      <w:lvlText w:val="o"/>
      <w:lvlJc w:val="left"/>
      <w:pPr>
        <w:ind w:left="1041" w:hanging="360"/>
      </w:pPr>
      <w:rPr>
        <w:rFonts w:ascii="Courier New" w:hAnsi="Courier New" w:cs="Courier New" w:hint="default"/>
      </w:rPr>
    </w:lvl>
    <w:lvl w:ilvl="2" w:tplc="04070005" w:tentative="1">
      <w:start w:val="1"/>
      <w:numFmt w:val="bullet"/>
      <w:lvlText w:val=""/>
      <w:lvlJc w:val="left"/>
      <w:pPr>
        <w:ind w:left="1761" w:hanging="360"/>
      </w:pPr>
      <w:rPr>
        <w:rFonts w:ascii="Wingdings" w:hAnsi="Wingdings" w:hint="default"/>
      </w:rPr>
    </w:lvl>
    <w:lvl w:ilvl="3" w:tplc="04070001" w:tentative="1">
      <w:start w:val="1"/>
      <w:numFmt w:val="bullet"/>
      <w:lvlText w:val=""/>
      <w:lvlJc w:val="left"/>
      <w:pPr>
        <w:ind w:left="2481" w:hanging="360"/>
      </w:pPr>
      <w:rPr>
        <w:rFonts w:ascii="Symbol" w:hAnsi="Symbol" w:hint="default"/>
      </w:rPr>
    </w:lvl>
    <w:lvl w:ilvl="4" w:tplc="04070003" w:tentative="1">
      <w:start w:val="1"/>
      <w:numFmt w:val="bullet"/>
      <w:lvlText w:val="o"/>
      <w:lvlJc w:val="left"/>
      <w:pPr>
        <w:ind w:left="3201" w:hanging="360"/>
      </w:pPr>
      <w:rPr>
        <w:rFonts w:ascii="Courier New" w:hAnsi="Courier New" w:cs="Courier New" w:hint="default"/>
      </w:rPr>
    </w:lvl>
    <w:lvl w:ilvl="5" w:tplc="04070005" w:tentative="1">
      <w:start w:val="1"/>
      <w:numFmt w:val="bullet"/>
      <w:lvlText w:val=""/>
      <w:lvlJc w:val="left"/>
      <w:pPr>
        <w:ind w:left="3921" w:hanging="360"/>
      </w:pPr>
      <w:rPr>
        <w:rFonts w:ascii="Wingdings" w:hAnsi="Wingdings" w:hint="default"/>
      </w:rPr>
    </w:lvl>
    <w:lvl w:ilvl="6" w:tplc="04070001" w:tentative="1">
      <w:start w:val="1"/>
      <w:numFmt w:val="bullet"/>
      <w:lvlText w:val=""/>
      <w:lvlJc w:val="left"/>
      <w:pPr>
        <w:ind w:left="4641" w:hanging="360"/>
      </w:pPr>
      <w:rPr>
        <w:rFonts w:ascii="Symbol" w:hAnsi="Symbol" w:hint="default"/>
      </w:rPr>
    </w:lvl>
    <w:lvl w:ilvl="7" w:tplc="04070003" w:tentative="1">
      <w:start w:val="1"/>
      <w:numFmt w:val="bullet"/>
      <w:lvlText w:val="o"/>
      <w:lvlJc w:val="left"/>
      <w:pPr>
        <w:ind w:left="5361" w:hanging="360"/>
      </w:pPr>
      <w:rPr>
        <w:rFonts w:ascii="Courier New" w:hAnsi="Courier New" w:cs="Courier New" w:hint="default"/>
      </w:rPr>
    </w:lvl>
    <w:lvl w:ilvl="8" w:tplc="04070005" w:tentative="1">
      <w:start w:val="1"/>
      <w:numFmt w:val="bullet"/>
      <w:lvlText w:val=""/>
      <w:lvlJc w:val="left"/>
      <w:pPr>
        <w:ind w:left="6081" w:hanging="360"/>
      </w:pPr>
      <w:rPr>
        <w:rFonts w:ascii="Wingdings" w:hAnsi="Wingdings" w:hint="default"/>
      </w:rPr>
    </w:lvl>
  </w:abstractNum>
  <w:abstractNum w:abstractNumId="45" w15:restartNumberingAfterBreak="0">
    <w:nsid w:val="7BA65163"/>
    <w:multiLevelType w:val="hybridMultilevel"/>
    <w:tmpl w:val="FE28E296"/>
    <w:lvl w:ilvl="0" w:tplc="BBEE34B4">
      <w:numFmt w:val="bullet"/>
      <w:lvlText w:val="-"/>
      <w:lvlJc w:val="left"/>
      <w:pPr>
        <w:ind w:left="1066" w:hanging="706"/>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DF74625"/>
    <w:multiLevelType w:val="hybridMultilevel"/>
    <w:tmpl w:val="A40E50E2"/>
    <w:lvl w:ilvl="0" w:tplc="A0BA87A8">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E3165F6"/>
    <w:multiLevelType w:val="hybridMultilevel"/>
    <w:tmpl w:val="A5D43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8"/>
  </w:num>
  <w:num w:numId="2">
    <w:abstractNumId w:val="37"/>
  </w:num>
  <w:num w:numId="3">
    <w:abstractNumId w:val="19"/>
  </w:num>
  <w:num w:numId="4">
    <w:abstractNumId w:val="5"/>
  </w:num>
  <w:num w:numId="5">
    <w:abstractNumId w:val="31"/>
  </w:num>
  <w:num w:numId="6">
    <w:abstractNumId w:val="30"/>
  </w:num>
  <w:num w:numId="7">
    <w:abstractNumId w:val="12"/>
  </w:num>
  <w:num w:numId="8">
    <w:abstractNumId w:val="41"/>
  </w:num>
  <w:num w:numId="9">
    <w:abstractNumId w:val="6"/>
  </w:num>
  <w:num w:numId="10">
    <w:abstractNumId w:val="33"/>
  </w:num>
  <w:num w:numId="11">
    <w:abstractNumId w:val="14"/>
  </w:num>
  <w:num w:numId="12">
    <w:abstractNumId w:val="34"/>
  </w:num>
  <w:num w:numId="13">
    <w:abstractNumId w:val="15"/>
  </w:num>
  <w:num w:numId="14">
    <w:abstractNumId w:val="36"/>
  </w:num>
  <w:num w:numId="15">
    <w:abstractNumId w:val="25"/>
  </w:num>
  <w:num w:numId="16">
    <w:abstractNumId w:val="21"/>
  </w:num>
  <w:num w:numId="17">
    <w:abstractNumId w:val="46"/>
  </w:num>
  <w:num w:numId="18">
    <w:abstractNumId w:val="18"/>
  </w:num>
  <w:num w:numId="19">
    <w:abstractNumId w:val="11"/>
  </w:num>
  <w:num w:numId="20">
    <w:abstractNumId w:val="8"/>
  </w:num>
  <w:num w:numId="21">
    <w:abstractNumId w:val="26"/>
  </w:num>
  <w:num w:numId="22">
    <w:abstractNumId w:val="22"/>
  </w:num>
  <w:num w:numId="23">
    <w:abstractNumId w:val="43"/>
  </w:num>
  <w:num w:numId="24">
    <w:abstractNumId w:val="10"/>
  </w:num>
  <w:num w:numId="25">
    <w:abstractNumId w:val="28"/>
  </w:num>
  <w:num w:numId="26">
    <w:abstractNumId w:val="24"/>
  </w:num>
  <w:num w:numId="27">
    <w:abstractNumId w:val="3"/>
  </w:num>
  <w:num w:numId="28">
    <w:abstractNumId w:val="17"/>
  </w:num>
  <w:num w:numId="29">
    <w:abstractNumId w:val="20"/>
  </w:num>
  <w:num w:numId="30">
    <w:abstractNumId w:val="13"/>
  </w:num>
  <w:num w:numId="31">
    <w:abstractNumId w:val="47"/>
  </w:num>
  <w:num w:numId="32">
    <w:abstractNumId w:val="35"/>
  </w:num>
  <w:num w:numId="33">
    <w:abstractNumId w:val="16"/>
  </w:num>
  <w:num w:numId="34">
    <w:abstractNumId w:val="42"/>
  </w:num>
  <w:num w:numId="35">
    <w:abstractNumId w:val="1"/>
  </w:num>
  <w:num w:numId="36">
    <w:abstractNumId w:val="7"/>
  </w:num>
  <w:num w:numId="37">
    <w:abstractNumId w:val="39"/>
  </w:num>
  <w:num w:numId="38">
    <w:abstractNumId w:val="0"/>
  </w:num>
  <w:num w:numId="39">
    <w:abstractNumId w:val="44"/>
  </w:num>
  <w:num w:numId="40">
    <w:abstractNumId w:val="4"/>
  </w:num>
  <w:num w:numId="41">
    <w:abstractNumId w:val="27"/>
  </w:num>
  <w:num w:numId="42">
    <w:abstractNumId w:val="29"/>
  </w:num>
  <w:num w:numId="43">
    <w:abstractNumId w:val="45"/>
  </w:num>
  <w:num w:numId="44">
    <w:abstractNumId w:val="2"/>
  </w:num>
  <w:num w:numId="45">
    <w:abstractNumId w:val="32"/>
  </w:num>
  <w:num w:numId="46">
    <w:abstractNumId w:val="9"/>
  </w:num>
  <w:num w:numId="47">
    <w:abstractNumId w:val="40"/>
  </w:num>
  <w:num w:numId="48">
    <w:abstractNumId w:val="9"/>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GwNDE1NjE3Mjc2NbZU0lEKTi0uzszPAykwqgUAcwsVaCwAAAA="/>
  </w:docVars>
  <w:rsids>
    <w:rsidRoot w:val="00A34776"/>
    <w:rsid w:val="0001301F"/>
    <w:rsid w:val="0005031C"/>
    <w:rsid w:val="0005137B"/>
    <w:rsid w:val="00064A81"/>
    <w:rsid w:val="000758F1"/>
    <w:rsid w:val="0009542A"/>
    <w:rsid w:val="000962D6"/>
    <w:rsid w:val="000A2F24"/>
    <w:rsid w:val="000B7196"/>
    <w:rsid w:val="000F280B"/>
    <w:rsid w:val="000F6342"/>
    <w:rsid w:val="00106170"/>
    <w:rsid w:val="00142A30"/>
    <w:rsid w:val="00143EC8"/>
    <w:rsid w:val="00173418"/>
    <w:rsid w:val="00173716"/>
    <w:rsid w:val="0019437C"/>
    <w:rsid w:val="001A5D27"/>
    <w:rsid w:val="001E36BF"/>
    <w:rsid w:val="00203DB5"/>
    <w:rsid w:val="0020792C"/>
    <w:rsid w:val="00232267"/>
    <w:rsid w:val="00232C13"/>
    <w:rsid w:val="00243DFE"/>
    <w:rsid w:val="00257CA0"/>
    <w:rsid w:val="00265955"/>
    <w:rsid w:val="00267B07"/>
    <w:rsid w:val="00290426"/>
    <w:rsid w:val="002A78CC"/>
    <w:rsid w:val="002B7518"/>
    <w:rsid w:val="002D2805"/>
    <w:rsid w:val="002E002B"/>
    <w:rsid w:val="002E71F3"/>
    <w:rsid w:val="003057A3"/>
    <w:rsid w:val="003438D2"/>
    <w:rsid w:val="00344540"/>
    <w:rsid w:val="00364A82"/>
    <w:rsid w:val="003970F1"/>
    <w:rsid w:val="003D3BDF"/>
    <w:rsid w:val="003D4F21"/>
    <w:rsid w:val="00426370"/>
    <w:rsid w:val="00476AD6"/>
    <w:rsid w:val="004D475C"/>
    <w:rsid w:val="004D6C28"/>
    <w:rsid w:val="004E5B4C"/>
    <w:rsid w:val="004F5CF2"/>
    <w:rsid w:val="005028F1"/>
    <w:rsid w:val="00510964"/>
    <w:rsid w:val="00556844"/>
    <w:rsid w:val="00556CD9"/>
    <w:rsid w:val="00566CB1"/>
    <w:rsid w:val="0058053C"/>
    <w:rsid w:val="0059115E"/>
    <w:rsid w:val="00591FA7"/>
    <w:rsid w:val="005A58BA"/>
    <w:rsid w:val="005A5E26"/>
    <w:rsid w:val="005C1450"/>
    <w:rsid w:val="005C52C3"/>
    <w:rsid w:val="005F75A8"/>
    <w:rsid w:val="006061A2"/>
    <w:rsid w:val="006478FE"/>
    <w:rsid w:val="0067376E"/>
    <w:rsid w:val="0067444D"/>
    <w:rsid w:val="00675F47"/>
    <w:rsid w:val="00690020"/>
    <w:rsid w:val="006C589B"/>
    <w:rsid w:val="006E35FD"/>
    <w:rsid w:val="006E3CFF"/>
    <w:rsid w:val="006F1632"/>
    <w:rsid w:val="006F7763"/>
    <w:rsid w:val="00705680"/>
    <w:rsid w:val="007176CA"/>
    <w:rsid w:val="007244CB"/>
    <w:rsid w:val="0073190E"/>
    <w:rsid w:val="00735D01"/>
    <w:rsid w:val="0075106F"/>
    <w:rsid w:val="00763B09"/>
    <w:rsid w:val="00763B34"/>
    <w:rsid w:val="00772240"/>
    <w:rsid w:val="00775C44"/>
    <w:rsid w:val="0077796F"/>
    <w:rsid w:val="00782E72"/>
    <w:rsid w:val="007831B8"/>
    <w:rsid w:val="007A0D6B"/>
    <w:rsid w:val="007C3694"/>
    <w:rsid w:val="007D10EC"/>
    <w:rsid w:val="007F7E04"/>
    <w:rsid w:val="00806349"/>
    <w:rsid w:val="00822740"/>
    <w:rsid w:val="008258F2"/>
    <w:rsid w:val="008643F4"/>
    <w:rsid w:val="00895149"/>
    <w:rsid w:val="008A662E"/>
    <w:rsid w:val="008D28E1"/>
    <w:rsid w:val="008D7AB3"/>
    <w:rsid w:val="009063E3"/>
    <w:rsid w:val="00926B00"/>
    <w:rsid w:val="0093648E"/>
    <w:rsid w:val="00953791"/>
    <w:rsid w:val="00962C25"/>
    <w:rsid w:val="00964DA4"/>
    <w:rsid w:val="00965BF1"/>
    <w:rsid w:val="00972B2F"/>
    <w:rsid w:val="00983977"/>
    <w:rsid w:val="00990010"/>
    <w:rsid w:val="009C090A"/>
    <w:rsid w:val="009C0BD9"/>
    <w:rsid w:val="009E667C"/>
    <w:rsid w:val="009F44E0"/>
    <w:rsid w:val="009F549F"/>
    <w:rsid w:val="00A10BAF"/>
    <w:rsid w:val="00A20B20"/>
    <w:rsid w:val="00A26E8F"/>
    <w:rsid w:val="00A34642"/>
    <w:rsid w:val="00A34776"/>
    <w:rsid w:val="00A608AE"/>
    <w:rsid w:val="00A66D3C"/>
    <w:rsid w:val="00A823DD"/>
    <w:rsid w:val="00AD5A8F"/>
    <w:rsid w:val="00AE2717"/>
    <w:rsid w:val="00B0651E"/>
    <w:rsid w:val="00B073AB"/>
    <w:rsid w:val="00B33E69"/>
    <w:rsid w:val="00BA4619"/>
    <w:rsid w:val="00BC61AE"/>
    <w:rsid w:val="00BD0D59"/>
    <w:rsid w:val="00BD442D"/>
    <w:rsid w:val="00BD5976"/>
    <w:rsid w:val="00BD6319"/>
    <w:rsid w:val="00C10178"/>
    <w:rsid w:val="00C3618B"/>
    <w:rsid w:val="00CB7673"/>
    <w:rsid w:val="00CC3717"/>
    <w:rsid w:val="00CF10C3"/>
    <w:rsid w:val="00D012B8"/>
    <w:rsid w:val="00D26960"/>
    <w:rsid w:val="00D453A2"/>
    <w:rsid w:val="00DB3241"/>
    <w:rsid w:val="00DB72BD"/>
    <w:rsid w:val="00E12BE0"/>
    <w:rsid w:val="00E20119"/>
    <w:rsid w:val="00E53BF2"/>
    <w:rsid w:val="00E635CE"/>
    <w:rsid w:val="00E67AF5"/>
    <w:rsid w:val="00E844F1"/>
    <w:rsid w:val="00E94414"/>
    <w:rsid w:val="00E94E61"/>
    <w:rsid w:val="00ED01D8"/>
    <w:rsid w:val="00EE1CBE"/>
    <w:rsid w:val="00EF3FA2"/>
    <w:rsid w:val="00F12B8B"/>
    <w:rsid w:val="00F21B01"/>
    <w:rsid w:val="00F65619"/>
    <w:rsid w:val="00F91CCB"/>
    <w:rsid w:val="00FB7DE3"/>
    <w:rsid w:val="00FC54A6"/>
    <w:rsid w:val="00FE784F"/>
    <w:rsid w:val="00FF425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1579C"/>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784F"/>
    <w:pPr>
      <w:spacing w:after="12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911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5911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aliases w:val="Aufzählung"/>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character" w:customStyle="1" w:styleId="berschrift3Zchn">
    <w:name w:val="Überschrift 3 Zchn"/>
    <w:basedOn w:val="Absatz-Standardschriftart"/>
    <w:link w:val="berschrift3"/>
    <w:uiPriority w:val="9"/>
    <w:rsid w:val="0059115E"/>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59115E"/>
    <w:rPr>
      <w:rFonts w:asciiTheme="majorHAnsi" w:eastAsiaTheme="majorEastAsia" w:hAnsiTheme="majorHAnsi" w:cstheme="majorBidi"/>
      <w:i/>
      <w:iCs/>
      <w:color w:val="2F5496" w:themeColor="accent1" w:themeShade="BF"/>
      <w:sz w:val="22"/>
      <w:szCs w:val="22"/>
    </w:rPr>
  </w:style>
  <w:style w:type="table" w:styleId="Tabellenraster">
    <w:name w:val="Table Grid"/>
    <w:basedOn w:val="NormaleTabelle"/>
    <w:uiPriority w:val="39"/>
    <w:rsid w:val="00E944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E944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rper">
    <w:name w:val="Body Text"/>
    <w:basedOn w:val="Standard"/>
    <w:link w:val="TextkrperZchn"/>
    <w:rsid w:val="00B0651E"/>
    <w:pPr>
      <w:spacing w:line="240" w:lineRule="auto"/>
      <w:jc w:val="both"/>
    </w:pPr>
    <w:rPr>
      <w:rFonts w:ascii="Arial" w:hAnsi="Arial" w:cs="Arial"/>
      <w:szCs w:val="24"/>
      <w:lang w:eastAsia="en-US"/>
    </w:rPr>
  </w:style>
  <w:style w:type="character" w:customStyle="1" w:styleId="TextkrperZchn">
    <w:name w:val="Textkörper Zchn"/>
    <w:basedOn w:val="Absatz-Standardschriftart"/>
    <w:link w:val="Textkrper"/>
    <w:rsid w:val="00B0651E"/>
    <w:rPr>
      <w:rFonts w:ascii="Arial" w:eastAsia="Times New Roman" w:hAnsi="Arial" w:cs="Arial"/>
      <w:sz w:val="22"/>
      <w:szCs w:val="24"/>
      <w:lang w:eastAsia="en-US"/>
    </w:rPr>
  </w:style>
  <w:style w:type="table" w:customStyle="1" w:styleId="HelleSchattierung-Akzent11">
    <w:name w:val="Helle Schattierung - Akzent 11"/>
    <w:basedOn w:val="NormaleTabelle"/>
    <w:uiPriority w:val="60"/>
    <w:rsid w:val="00B0651E"/>
    <w:rPr>
      <w:rFonts w:ascii="Arial" w:eastAsia="Times New Roman" w:hAnsi="Arial" w:cs="Arial"/>
      <w:sz w:val="22"/>
      <w:szCs w:val="24"/>
    </w:rPr>
    <w:tblPr>
      <w:tblStyleRowBandSize w:val="1"/>
      <w:tblStyleColBandSize w:val="1"/>
      <w:tblBorders>
        <w:insideH w:val="single" w:sz="4" w:space="0" w:color="auto"/>
      </w:tblBorders>
    </w:tblPr>
    <w:tblStylePr w:type="firstRow">
      <w:pPr>
        <w:spacing w:before="0" w:after="0" w:line="240" w:lineRule="auto"/>
      </w:pPr>
      <w:rPr>
        <w:b/>
        <w:bCs/>
        <w:color w:val="auto"/>
      </w:rPr>
      <w:tblPr/>
      <w:tcPr>
        <w:shd w:val="clear" w:color="auto" w:fill="D9D9D9" w:themeFill="background1" w:themeFillShade="D9"/>
      </w:tcPr>
    </w:tblStylePr>
    <w:tblStylePr w:type="lastRow">
      <w:pPr>
        <w:spacing w:before="0" w:after="0" w:line="240" w:lineRule="auto"/>
      </w:pPr>
      <w:rPr>
        <w:b w:val="0"/>
        <w:bCs/>
        <w:color w:val="auto"/>
      </w:rPr>
      <w:tblPr/>
      <w:tcPr>
        <w:tcBorders>
          <w:top w:val="single" w:sz="4" w:space="0" w:color="auto"/>
          <w:left w:val="nil"/>
          <w:bottom w:val="nil"/>
          <w:right w:val="nil"/>
          <w:insideH w:val="nil"/>
          <w:insideV w:val="nil"/>
          <w:tl2br w:val="nil"/>
          <w:tr2bl w:val="nil"/>
        </w:tcBorders>
      </w:tcPr>
    </w:tblStylePr>
    <w:tblStylePr w:type="firstCol">
      <w:rPr>
        <w:b w:val="0"/>
        <w:bCs/>
      </w:rPr>
      <w:tblPr/>
      <w:tcPr>
        <w:shd w:val="clear" w:color="auto" w:fill="FFFFFF" w:themeFill="background1"/>
      </w:tcPr>
    </w:tblStylePr>
    <w:tblStylePr w:type="lastCol">
      <w:rPr>
        <w:b w:val="0"/>
        <w:bCs/>
      </w:rPr>
    </w:tblStylePr>
    <w:tblStylePr w:type="band1Vert">
      <w:tblPr/>
      <w:tcPr>
        <w:shd w:val="clear" w:color="auto" w:fill="FFFFFF" w:themeFill="background1"/>
      </w:tcPr>
    </w:tblStylePr>
    <w:tblStylePr w:type="band1Horz">
      <w:tblPr/>
      <w:tcPr>
        <w:tcBorders>
          <w:top w:val="nil"/>
          <w:left w:val="nil"/>
          <w:bottom w:val="nil"/>
          <w:right w:val="nil"/>
        </w:tcBorders>
        <w:shd w:val="clear" w:color="auto" w:fill="FFFFFF" w:themeFill="background1"/>
      </w:tcPr>
    </w:tblStylePr>
    <w:tblStylePr w:type="band2Horz">
      <w:tblPr/>
      <w:tcPr>
        <w:shd w:val="clear" w:color="auto" w:fill="FFFFFF" w:themeFill="background1"/>
      </w:tcPr>
    </w:tblStylePr>
  </w:style>
  <w:style w:type="table" w:styleId="TabellemithellemGitternetz">
    <w:name w:val="Grid Table Light"/>
    <w:basedOn w:val="NormaleTabelle"/>
    <w:uiPriority w:val="40"/>
    <w:rsid w:val="00E201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9839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einLeerraum">
    <w:name w:val="No Spacing"/>
    <w:uiPriority w:val="1"/>
    <w:qFormat/>
    <w:rsid w:val="006F776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02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atenschutzkonferenz-online.de/media/kp/dsk_kpnr_1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enschutzkonferenz-online.de/media/wp/20171004_wp248_rev0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frage@activemind.de" TargetMode="Externa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openxmlformats.org/officeDocument/2006/relationships/hyperlink" Target="https://www.datenschutzkonferenz-online.de/anwendungshinweis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164D7-84E1-4BA2-ADB5-A233B006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5859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Seip</dc:creator>
  <cp:keywords/>
  <cp:lastModifiedBy>Felix Schmidt</cp:lastModifiedBy>
  <cp:revision>3</cp:revision>
  <dcterms:created xsi:type="dcterms:W3CDTF">2019-07-15T08:06:00Z</dcterms:created>
  <dcterms:modified xsi:type="dcterms:W3CDTF">2019-07-15T08:07:00Z</dcterms:modified>
</cp:coreProperties>
</file>