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337FF8" w14:textId="183192CD" w:rsidR="00C61110" w:rsidRPr="00BC6ED0" w:rsidRDefault="003C5FA3">
      <w:pPr>
        <w:rPr>
          <w:b/>
          <w:bCs/>
        </w:rPr>
      </w:pPr>
      <w:r w:rsidRPr="00BC6ED0">
        <w:rPr>
          <w:b/>
          <w:bCs/>
        </w:rPr>
        <w:t xml:space="preserve">Pressemitteilung: </w:t>
      </w:r>
    </w:p>
    <w:p w14:paraId="732E3A5A" w14:textId="4F36E7F4" w:rsidR="00DF24EC" w:rsidRDefault="00DA042C" w:rsidP="00DF24EC">
      <w:pPr>
        <w:pStyle w:val="berschrift1"/>
      </w:pPr>
      <w:r>
        <w:t>activeMind</w:t>
      </w:r>
      <w:r w:rsidR="0014366E">
        <w:t xml:space="preserve"> </w:t>
      </w:r>
      <w:r w:rsidR="00DF24EC">
        <w:t>kooperiert mit Device Insight für mehr OT Security</w:t>
      </w:r>
    </w:p>
    <w:p w14:paraId="6DA27AE6" w14:textId="4AB401B0" w:rsidR="00DA042C" w:rsidRPr="00637678" w:rsidRDefault="00DF24EC" w:rsidP="003C5FA3">
      <w:pPr>
        <w:rPr>
          <w:b/>
          <w:bCs/>
        </w:rPr>
      </w:pPr>
      <w:r>
        <w:rPr>
          <w:b/>
          <w:bCs/>
        </w:rPr>
        <w:t xml:space="preserve">Die Partnerschaft von </w:t>
      </w:r>
      <w:r w:rsidRPr="00DF24EC">
        <w:rPr>
          <w:b/>
          <w:bCs/>
        </w:rPr>
        <w:t xml:space="preserve">activeMind AG </w:t>
      </w:r>
      <w:r>
        <w:rPr>
          <w:b/>
          <w:bCs/>
        </w:rPr>
        <w:t xml:space="preserve">und </w:t>
      </w:r>
      <w:r w:rsidRPr="00DF24EC">
        <w:rPr>
          <w:b/>
          <w:bCs/>
        </w:rPr>
        <w:t>Device Insight</w:t>
      </w:r>
      <w:r>
        <w:rPr>
          <w:b/>
          <w:bCs/>
        </w:rPr>
        <w:t xml:space="preserve"> GmbH ermöglicht </w:t>
      </w:r>
      <w:r w:rsidRPr="00DF24EC">
        <w:rPr>
          <w:b/>
          <w:bCs/>
        </w:rPr>
        <w:t xml:space="preserve">eine in Deutschland einmalige </w:t>
      </w:r>
      <w:r w:rsidR="00705082">
        <w:rPr>
          <w:b/>
          <w:bCs/>
        </w:rPr>
        <w:t xml:space="preserve">Unterstützung </w:t>
      </w:r>
      <w:r w:rsidRPr="00DF24EC">
        <w:rPr>
          <w:b/>
          <w:bCs/>
        </w:rPr>
        <w:t xml:space="preserve">für Cybersecurity </w:t>
      </w:r>
      <w:r>
        <w:rPr>
          <w:b/>
          <w:bCs/>
        </w:rPr>
        <w:t xml:space="preserve">von </w:t>
      </w:r>
      <w:r w:rsidRPr="00DF24EC">
        <w:rPr>
          <w:b/>
          <w:bCs/>
        </w:rPr>
        <w:t>Operational Technology (OT).</w:t>
      </w:r>
    </w:p>
    <w:p w14:paraId="26243431" w14:textId="45706ED3" w:rsidR="00DF24EC" w:rsidRDefault="00DF24EC" w:rsidP="00637678">
      <w:pPr>
        <w:pStyle w:val="Listenabsatz"/>
        <w:numPr>
          <w:ilvl w:val="0"/>
          <w:numId w:val="2"/>
        </w:numPr>
        <w:rPr>
          <w:b/>
          <w:bCs/>
        </w:rPr>
      </w:pPr>
      <w:r>
        <w:rPr>
          <w:b/>
          <w:bCs/>
        </w:rPr>
        <w:t xml:space="preserve">Industrielle Anlagen und Systeme werden immer häufiger Ziel von Cyberattacken </w:t>
      </w:r>
    </w:p>
    <w:p w14:paraId="14950DAA" w14:textId="11468DA0" w:rsidR="00C36178" w:rsidRDefault="00DF24EC" w:rsidP="00637678">
      <w:pPr>
        <w:pStyle w:val="Listenabsatz"/>
        <w:numPr>
          <w:ilvl w:val="0"/>
          <w:numId w:val="2"/>
        </w:numPr>
        <w:rPr>
          <w:b/>
          <w:bCs/>
        </w:rPr>
      </w:pPr>
      <w:r>
        <w:rPr>
          <w:b/>
          <w:bCs/>
        </w:rPr>
        <w:t>Hersteller und Betreiber überwachungsbedürftiger Anlagen müssen neue gesetzliche Vorgaben beachten</w:t>
      </w:r>
    </w:p>
    <w:p w14:paraId="689F63D3" w14:textId="372A81F6" w:rsidR="0014366E" w:rsidRPr="00637678" w:rsidRDefault="00DF24EC" w:rsidP="00637678">
      <w:pPr>
        <w:pStyle w:val="Listenabsatz"/>
        <w:numPr>
          <w:ilvl w:val="0"/>
          <w:numId w:val="2"/>
        </w:numPr>
        <w:rPr>
          <w:b/>
          <w:bCs/>
        </w:rPr>
      </w:pPr>
      <w:r>
        <w:rPr>
          <w:b/>
          <w:bCs/>
        </w:rPr>
        <w:t xml:space="preserve">activeMind und Device Insight </w:t>
      </w:r>
      <w:r w:rsidR="001C2900">
        <w:rPr>
          <w:b/>
          <w:bCs/>
        </w:rPr>
        <w:t>verbinden juristische, organisatorische und technische Expertise zu optimaler Unterstützung</w:t>
      </w:r>
    </w:p>
    <w:p w14:paraId="088783A7" w14:textId="77777777" w:rsidR="001C2900" w:rsidRDefault="001C2900" w:rsidP="001C2900">
      <w:pPr>
        <w:pStyle w:val="berschrift2"/>
      </w:pPr>
      <w:r>
        <w:t>Warum wird OT Security immer wichtiger?</w:t>
      </w:r>
    </w:p>
    <w:p w14:paraId="3207B792" w14:textId="6B47229A" w:rsidR="001C2900" w:rsidRDefault="005D5A72" w:rsidP="001C2900">
      <w:r>
        <w:t xml:space="preserve">München, </w:t>
      </w:r>
      <w:r w:rsidR="001C2900">
        <w:t>2</w:t>
      </w:r>
      <w:r w:rsidR="002819B3">
        <w:t>9</w:t>
      </w:r>
      <w:r>
        <w:t xml:space="preserve">. </w:t>
      </w:r>
      <w:r w:rsidR="007D0938">
        <w:t xml:space="preserve">September </w:t>
      </w:r>
      <w:r>
        <w:t xml:space="preserve">2026 – </w:t>
      </w:r>
      <w:r w:rsidR="001C2900">
        <w:t xml:space="preserve">Operational Technology (OT) wird immer häufiger zum Angriffspunkt für Cyberattacken. Grund sind meistens veraltete oder überhaupt nicht mehr aktualisierbare Systeme sowie Protokolle, bei deren Entwicklung das Thema Sicherheit überhaupt noch nicht relevant war. Wenn Unbefugte </w:t>
      </w:r>
      <w:r w:rsidR="00306875">
        <w:t xml:space="preserve">jedoch </w:t>
      </w:r>
      <w:r w:rsidR="001C2900">
        <w:t xml:space="preserve">über vernetzte Geräte </w:t>
      </w:r>
      <w:r w:rsidR="00306875">
        <w:t xml:space="preserve">die </w:t>
      </w:r>
      <w:r w:rsidR="001C2900">
        <w:t>sicherheitsrelevante</w:t>
      </w:r>
      <w:r w:rsidR="00306875">
        <w:t>n</w:t>
      </w:r>
      <w:r w:rsidR="001C2900">
        <w:t xml:space="preserve"> Mess-, Steuer- und Regeleinrichtungen (MSR-Einrichtungen) </w:t>
      </w:r>
      <w:r w:rsidR="00306875">
        <w:t xml:space="preserve">in Industrieanlagen </w:t>
      </w:r>
      <w:r w:rsidR="001C2900">
        <w:t xml:space="preserve">manipulieren, droht Gefahr für Leib und Leben von Beschäftigten. </w:t>
      </w:r>
    </w:p>
    <w:p w14:paraId="322F72E5" w14:textId="00D68DB2" w:rsidR="001C2900" w:rsidRDefault="001C2900" w:rsidP="001C2900">
      <w:r>
        <w:t xml:space="preserve">Der Gesetzgeber reagierte mittlerweile auf diese Risiken und schuf diverse Vorgaben zur OT Security. Diese kommen einerseits aus Richtung des Arbeitsschutzes über die </w:t>
      </w:r>
      <w:r w:rsidRPr="004E3F67">
        <w:t>Betriebssicherheitsverordnung (BetrSichV)</w:t>
      </w:r>
      <w:r>
        <w:t xml:space="preserve"> und die </w:t>
      </w:r>
      <w:r w:rsidRPr="00306875">
        <w:t>Technische Richtlinie Betriebssicherheit (TRBS) 1115 Teil 1</w:t>
      </w:r>
      <w:r>
        <w:t xml:space="preserve">. Andererseits kommen Vorgaben durch die EU-Maschinenverordnung sowie auf Produktebene durch den </w:t>
      </w:r>
      <w:r w:rsidRPr="00306875">
        <w:t>Cyber Resilience Act (CRA)</w:t>
      </w:r>
      <w:r>
        <w:t xml:space="preserve">. </w:t>
      </w:r>
    </w:p>
    <w:p w14:paraId="6157788E" w14:textId="26E14E40" w:rsidR="001C2900" w:rsidRDefault="001C2900" w:rsidP="001C2900">
      <w:r>
        <w:t xml:space="preserve">Hersteller und Betreiber </w:t>
      </w:r>
      <w:r w:rsidR="00306875">
        <w:t>überwachungsbedürftige</w:t>
      </w:r>
      <w:r w:rsidR="00705082">
        <w:t>r</w:t>
      </w:r>
      <w:r w:rsidR="00306875">
        <w:t xml:space="preserve"> Anlagen </w:t>
      </w:r>
      <w:r w:rsidR="00705082">
        <w:t xml:space="preserve">erleben </w:t>
      </w:r>
      <w:r>
        <w:t xml:space="preserve">deswegen einen </w:t>
      </w:r>
      <w:r w:rsidR="00306875">
        <w:t xml:space="preserve">zunehmenden </w:t>
      </w:r>
      <w:r>
        <w:t>Handlungsdruck</w:t>
      </w:r>
      <w:r w:rsidR="00306875">
        <w:t xml:space="preserve">. So müssen die </w:t>
      </w:r>
      <w:r w:rsidR="00306875" w:rsidRPr="00306875">
        <w:t xml:space="preserve">Zugelassenen Überwachungsstellen (ZÜS) seit April 2026 die Cybersicherheit von OT mit </w:t>
      </w:r>
      <w:r w:rsidR="00306875">
        <w:t>prüfen</w:t>
      </w:r>
      <w:r w:rsidR="00306875" w:rsidRPr="00306875">
        <w:t>.</w:t>
      </w:r>
      <w:r w:rsidR="00306875">
        <w:t xml:space="preserve"> Beanstandungen können zur Stilllegung von Maschinen führen, was kostspielige Verzögerungen in der Produktion verursachen kann. </w:t>
      </w:r>
    </w:p>
    <w:p w14:paraId="241ADA1B" w14:textId="77777777" w:rsidR="00306875" w:rsidRDefault="00306875" w:rsidP="00306875">
      <w:pPr>
        <w:pStyle w:val="berschrift2"/>
      </w:pPr>
      <w:r>
        <w:t xml:space="preserve">Wieso kooperiert activeMind mit Device Insight? </w:t>
      </w:r>
    </w:p>
    <w:p w14:paraId="5A7B0902" w14:textId="72959818" w:rsidR="00DF24EC" w:rsidRDefault="00306875" w:rsidP="00DF24EC">
      <w:r>
        <w:t>„Die Kooperation zwischen activeMind und Device Insight ist das Ergebnis einer einfachen Beobachtung</w:t>
      </w:r>
      <w:r w:rsidR="00D83B4E">
        <w:t xml:space="preserve">“, erklärt Klaus Foitzick, Vorstand der activeMind AG. </w:t>
      </w:r>
      <w:r>
        <w:t>„</w:t>
      </w:r>
      <w:r w:rsidR="00DF24EC">
        <w:t>Die Herausforderung, vor der Betreiber und Hersteller hinsichtlich der OT Security stehen, lässt sich nicht von einer Seite allein lösen. Vielmehr gilt es methodische Beratung und technische Umsetzung gemeinsam zu koordinieren, um das beste Ergebnis zu erzielen.</w:t>
      </w:r>
      <w:r>
        <w:t>“</w:t>
      </w:r>
      <w:r w:rsidR="00DF24EC">
        <w:t xml:space="preserve"> </w:t>
      </w:r>
    </w:p>
    <w:p w14:paraId="3D158438" w14:textId="77777777" w:rsidR="00DF24EC" w:rsidRDefault="00DF24EC" w:rsidP="00DF24EC">
      <w:r>
        <w:t xml:space="preserve">Die activeMind AG übernimmt in Zusammenarbeit mit ihrer Partnerkanzlei activeMind.legal Rechtsanwälte die methodische Beratung: </w:t>
      </w:r>
    </w:p>
    <w:p w14:paraId="7D7E20CC" w14:textId="77777777" w:rsidR="00DF24EC" w:rsidRDefault="00DF24EC" w:rsidP="00DF24EC">
      <w:pPr>
        <w:pStyle w:val="Listenabsatz"/>
        <w:numPr>
          <w:ilvl w:val="0"/>
          <w:numId w:val="4"/>
        </w:numPr>
      </w:pPr>
      <w:r>
        <w:t xml:space="preserve">activeMind.legal Rechtsanwälte sorgt für die rechtlichen Einordnungen – von der Haftungsfrage bei Cyberangriffen bis zur Vertragsgestaltung mit Dienstleistern. </w:t>
      </w:r>
    </w:p>
    <w:p w14:paraId="6ABD24BF" w14:textId="77777777" w:rsidR="00DF24EC" w:rsidRDefault="00DF24EC" w:rsidP="00DF24EC">
      <w:pPr>
        <w:pStyle w:val="Listenabsatz"/>
        <w:numPr>
          <w:ilvl w:val="0"/>
          <w:numId w:val="4"/>
        </w:numPr>
      </w:pPr>
      <w:r>
        <w:t xml:space="preserve">In der hauseigenen SaaS-Lösung activeMind.cloud werden Risikoanalysen, Maßnahmentracking und Dokumentation digital verwaltet und nachweisbar. </w:t>
      </w:r>
    </w:p>
    <w:p w14:paraId="7537B024" w14:textId="74CAD834" w:rsidR="00DF24EC" w:rsidRDefault="00DF24EC" w:rsidP="00DF24EC">
      <w:pPr>
        <w:pStyle w:val="Listenabsatz"/>
        <w:numPr>
          <w:ilvl w:val="0"/>
          <w:numId w:val="4"/>
        </w:numPr>
      </w:pPr>
      <w:r>
        <w:lastRenderedPageBreak/>
        <w:t xml:space="preserve">Die Berater der activeMind AG bringen ihre langjährige Erfahrung in der IT-Sicherheit (etwa: </w:t>
      </w:r>
      <w:r w:rsidRPr="00306875">
        <w:t>ISO 27001</w:t>
      </w:r>
      <w:r>
        <w:t xml:space="preserve"> oder </w:t>
      </w:r>
      <w:r w:rsidRPr="00306875">
        <w:t>NIS2-Richtlinie</w:t>
      </w:r>
      <w:r>
        <w:t xml:space="preserve">) und nun auch </w:t>
      </w:r>
      <w:r w:rsidRPr="00306875">
        <w:t>OT-Cybersicherheit</w:t>
      </w:r>
      <w:r>
        <w:t xml:space="preserve"> ein – </w:t>
      </w:r>
      <w:r w:rsidR="00306875">
        <w:t xml:space="preserve">etwa </w:t>
      </w:r>
      <w:r>
        <w:t>mit ersten erfolgreich abgeschlossenen Audits nach TRBS 1115 Teil 1.</w:t>
      </w:r>
    </w:p>
    <w:p w14:paraId="746D3F79" w14:textId="77777777" w:rsidR="00DF24EC" w:rsidRPr="00577B8A" w:rsidRDefault="00DF24EC" w:rsidP="00DF24EC">
      <w:pPr>
        <w:pStyle w:val="pf0"/>
        <w:ind w:left="360"/>
        <w:rPr>
          <w:rFonts w:ascii="Calibri" w:hAnsi="Calibri" w:cs="Calibri"/>
          <w:sz w:val="22"/>
          <w:szCs w:val="22"/>
        </w:rPr>
      </w:pPr>
      <w:r w:rsidRPr="00577B8A">
        <w:rPr>
          <w:rStyle w:val="cf01"/>
          <w:rFonts w:ascii="Calibri" w:hAnsi="Calibri" w:cs="Calibri"/>
          <w:sz w:val="22"/>
          <w:szCs w:val="22"/>
        </w:rPr>
        <w:t>Device Insight kennt die Fabrikhalle von innen und übernimmt die technische Seite der Umsetzung:</w:t>
      </w:r>
    </w:p>
    <w:p w14:paraId="1E290277" w14:textId="77777777" w:rsidR="00DF24EC" w:rsidRDefault="00DF24EC" w:rsidP="00DF24EC">
      <w:pPr>
        <w:pStyle w:val="pf0"/>
        <w:numPr>
          <w:ilvl w:val="0"/>
          <w:numId w:val="5"/>
        </w:numPr>
        <w:rPr>
          <w:rFonts w:ascii="Calibri" w:hAnsi="Calibri" w:cs="Calibri"/>
          <w:sz w:val="22"/>
          <w:szCs w:val="22"/>
        </w:rPr>
      </w:pPr>
      <w:r w:rsidRPr="00577B8A">
        <w:rPr>
          <w:rStyle w:val="cf01"/>
          <w:rFonts w:ascii="Calibri" w:hAnsi="Calibri" w:cs="Calibri"/>
          <w:sz w:val="22"/>
          <w:szCs w:val="22"/>
        </w:rPr>
        <w:t>D</w:t>
      </w:r>
      <w:r>
        <w:rPr>
          <w:rStyle w:val="cf01"/>
          <w:rFonts w:ascii="Calibri" w:hAnsi="Calibri" w:cs="Calibri"/>
          <w:sz w:val="22"/>
          <w:szCs w:val="22"/>
        </w:rPr>
        <w:t>er</w:t>
      </w:r>
      <w:r w:rsidRPr="00577B8A">
        <w:rPr>
          <w:rStyle w:val="cf01"/>
          <w:rFonts w:ascii="Calibri" w:hAnsi="Calibri" w:cs="Calibri"/>
          <w:sz w:val="22"/>
          <w:szCs w:val="22"/>
        </w:rPr>
        <w:t xml:space="preserve"> Münchner Software</w:t>
      </w:r>
      <w:r>
        <w:rPr>
          <w:rStyle w:val="cf01"/>
          <w:rFonts w:ascii="Calibri" w:hAnsi="Calibri" w:cs="Calibri"/>
          <w:sz w:val="22"/>
          <w:szCs w:val="22"/>
        </w:rPr>
        <w:t>-Spezialist</w:t>
      </w:r>
      <w:r w:rsidRPr="00577B8A">
        <w:rPr>
          <w:rStyle w:val="cf01"/>
          <w:rFonts w:ascii="Calibri" w:hAnsi="Calibri" w:cs="Calibri"/>
          <w:sz w:val="22"/>
          <w:szCs w:val="22"/>
        </w:rPr>
        <w:t xml:space="preserve"> arbeitet seit </w:t>
      </w:r>
      <w:r>
        <w:rPr>
          <w:rStyle w:val="cf01"/>
          <w:rFonts w:ascii="Calibri" w:hAnsi="Calibri" w:cs="Calibri"/>
          <w:sz w:val="22"/>
          <w:szCs w:val="22"/>
        </w:rPr>
        <w:t>rund</w:t>
      </w:r>
      <w:r w:rsidRPr="00577B8A">
        <w:rPr>
          <w:rStyle w:val="cf01"/>
          <w:rFonts w:ascii="Calibri" w:hAnsi="Calibri" w:cs="Calibri"/>
          <w:sz w:val="22"/>
          <w:szCs w:val="22"/>
        </w:rPr>
        <w:t xml:space="preserve"> 2</w:t>
      </w:r>
      <w:r>
        <w:rPr>
          <w:rStyle w:val="cf01"/>
          <w:rFonts w:ascii="Calibri" w:hAnsi="Calibri" w:cs="Calibri"/>
          <w:sz w:val="22"/>
          <w:szCs w:val="22"/>
        </w:rPr>
        <w:t>5</w:t>
      </w:r>
      <w:r w:rsidRPr="00577B8A">
        <w:rPr>
          <w:rStyle w:val="cf01"/>
          <w:rFonts w:ascii="Calibri" w:hAnsi="Calibri" w:cs="Calibri"/>
          <w:sz w:val="22"/>
          <w:szCs w:val="22"/>
        </w:rPr>
        <w:t xml:space="preserve"> Jahren mit Maschinen- und Anlagenbauern sowie Anlagenbetreibern</w:t>
      </w:r>
      <w:r>
        <w:rPr>
          <w:rStyle w:val="cf01"/>
          <w:rFonts w:ascii="Calibri" w:hAnsi="Calibri" w:cs="Calibri"/>
          <w:sz w:val="22"/>
          <w:szCs w:val="22"/>
        </w:rPr>
        <w:t xml:space="preserve"> –</w:t>
      </w:r>
      <w:r w:rsidRPr="00577B8A">
        <w:rPr>
          <w:rStyle w:val="cf01"/>
          <w:rFonts w:ascii="Calibri" w:hAnsi="Calibri" w:cs="Calibri"/>
          <w:sz w:val="22"/>
          <w:szCs w:val="22"/>
        </w:rPr>
        <w:t xml:space="preserve"> von der Datenanbindung an Steuerungen und Leitsystemen über die Edge- und Netzarchitektur zwischen Produktion und IT bis in die Cloud</w:t>
      </w:r>
      <w:r>
        <w:rPr>
          <w:rStyle w:val="cf01"/>
          <w:rFonts w:ascii="Calibri" w:hAnsi="Calibri" w:cs="Calibri"/>
          <w:sz w:val="22"/>
          <w:szCs w:val="22"/>
        </w:rPr>
        <w:t xml:space="preserve"> – und kennt daher die </w:t>
      </w:r>
      <w:r w:rsidRPr="00C45AC7">
        <w:rPr>
          <w:rFonts w:ascii="Calibri" w:hAnsi="Calibri" w:cs="Calibri"/>
          <w:sz w:val="22"/>
          <w:szCs w:val="22"/>
        </w:rPr>
        <w:t>OT-Protokolle, Alterslagen und Stolperfallen laufender Anlagen aus der Praxis.</w:t>
      </w:r>
    </w:p>
    <w:p w14:paraId="26504C4D" w14:textId="77777777" w:rsidR="00DF24EC" w:rsidRDefault="00DF24EC" w:rsidP="00DF24EC">
      <w:pPr>
        <w:pStyle w:val="pf0"/>
        <w:numPr>
          <w:ilvl w:val="0"/>
          <w:numId w:val="5"/>
        </w:numPr>
        <w:rPr>
          <w:rFonts w:ascii="Calibri" w:hAnsi="Calibri" w:cs="Calibri"/>
          <w:sz w:val="22"/>
          <w:szCs w:val="22"/>
        </w:rPr>
      </w:pPr>
      <w:r w:rsidRPr="0066122A">
        <w:rPr>
          <w:rFonts w:ascii="Calibri" w:hAnsi="Calibri" w:cs="Calibri"/>
          <w:sz w:val="22"/>
          <w:szCs w:val="22"/>
        </w:rPr>
        <w:t>Auf dieser Basis bewertet Device Insight den technischen Sicherheitszustand von Anlagen und Systemen – Netz- und Zugriffsarchitektur, Kommunikationswege, Fernzugriffe, Gerätesoftware – und setzt die daraus abgeleiteten Maßnahmen um.</w:t>
      </w:r>
    </w:p>
    <w:p w14:paraId="718BDADF" w14:textId="6F80F4E5" w:rsidR="00DF24EC" w:rsidRPr="00577B8A" w:rsidRDefault="00DF24EC" w:rsidP="00DF24EC">
      <w:pPr>
        <w:pStyle w:val="pf0"/>
        <w:numPr>
          <w:ilvl w:val="0"/>
          <w:numId w:val="5"/>
        </w:numPr>
        <w:rPr>
          <w:rFonts w:ascii="Calibri" w:hAnsi="Calibri" w:cs="Calibri"/>
          <w:sz w:val="22"/>
          <w:szCs w:val="22"/>
        </w:rPr>
      </w:pPr>
      <w:r w:rsidRPr="00577B8A">
        <w:rPr>
          <w:rStyle w:val="cf01"/>
          <w:rFonts w:ascii="Calibri" w:hAnsi="Calibri" w:cs="Calibri"/>
          <w:sz w:val="22"/>
          <w:szCs w:val="22"/>
        </w:rPr>
        <w:t>Für Hersteller reicht die Unterstützung bis ins Produkt selbst: sichere Softwareentwicklung, Architektur und Betrieb auf Azure, AWS und S</w:t>
      </w:r>
      <w:r>
        <w:rPr>
          <w:rStyle w:val="cf01"/>
          <w:rFonts w:ascii="Calibri" w:hAnsi="Calibri" w:cs="Calibri"/>
          <w:sz w:val="22"/>
          <w:szCs w:val="22"/>
        </w:rPr>
        <w:t>TACK</w:t>
      </w:r>
      <w:r w:rsidRPr="00577B8A">
        <w:rPr>
          <w:rStyle w:val="cf01"/>
          <w:rFonts w:ascii="Calibri" w:hAnsi="Calibri" w:cs="Calibri"/>
          <w:sz w:val="22"/>
          <w:szCs w:val="22"/>
        </w:rPr>
        <w:t>IT sowie der Umgang mit Updatefähigkeit, Härtung und Nachweisen</w:t>
      </w:r>
      <w:r w:rsidR="002819B3">
        <w:rPr>
          <w:rStyle w:val="cf01"/>
          <w:rFonts w:ascii="Calibri" w:hAnsi="Calibri" w:cs="Calibri"/>
          <w:sz w:val="22"/>
          <w:szCs w:val="22"/>
        </w:rPr>
        <w:t xml:space="preserve">. </w:t>
      </w:r>
    </w:p>
    <w:p w14:paraId="1D587FFF" w14:textId="77777777" w:rsidR="00DF24EC" w:rsidRDefault="00DF24EC" w:rsidP="00DF24EC">
      <w:pPr>
        <w:pStyle w:val="berschrift2"/>
      </w:pPr>
      <w:r>
        <w:t xml:space="preserve">Welche Vorteile haben Kunden von der Kooperation? </w:t>
      </w:r>
    </w:p>
    <w:p w14:paraId="2C402692" w14:textId="75B339F0" w:rsidR="00DF24EC" w:rsidRDefault="00DF24EC" w:rsidP="00DF24EC">
      <w:r>
        <w:t>Die Zusammenarbeit von activeMind AG und Device Insight bei der OT Security bringt für Hersteller und Betreiber überwachungsbedürftiger Anlagen klare Vorteile</w:t>
      </w:r>
      <w:r w:rsidR="00306875">
        <w:t xml:space="preserve">. </w:t>
      </w:r>
      <w:r>
        <w:t>Beide Unternehmen arbeiten seit vielen Jahren mit dem deutschen Mittelstand und haben dieselbe Überzeugung: Regulatorik ohne technische Umsetzung bleibt Papier. Technische Umsetzung ohne regulatorische Grundlage bleibt unvollständig. Erst zusammen entsteht ein Angebot, das Betreiber und Hersteller wirklich absichert – methodisch, rechtlich, technisch und dokumentarisch.</w:t>
      </w:r>
    </w:p>
    <w:p w14:paraId="35D1CFC9" w14:textId="34C94BEF" w:rsidR="00922029" w:rsidRDefault="00922029" w:rsidP="00922029">
      <w:pPr>
        <w:pStyle w:val="berschrift2"/>
      </w:pPr>
      <w:r>
        <w:t xml:space="preserve">Über </w:t>
      </w:r>
      <w:r w:rsidR="00AD1CD1">
        <w:t xml:space="preserve">die </w:t>
      </w:r>
      <w:r>
        <w:t>activeMind</w:t>
      </w:r>
      <w:r w:rsidR="00AD1CD1">
        <w:t xml:space="preserve"> AG</w:t>
      </w:r>
    </w:p>
    <w:p w14:paraId="2F46A9B6" w14:textId="44CDFC05" w:rsidR="00922029" w:rsidRDefault="009F4E97" w:rsidP="009F4E97">
      <w:r w:rsidRPr="009F4E97">
        <w:t xml:space="preserve">Die activeMind AG berät mittelständische Unternehmen und Konzerne seit </w:t>
      </w:r>
      <w:r>
        <w:t xml:space="preserve">dem Jahr </w:t>
      </w:r>
      <w:r w:rsidRPr="009F4E97">
        <w:t>2000 zu Informationssicherheit und Datenschutz</w:t>
      </w:r>
      <w:r w:rsidR="004D5217">
        <w:t>.</w:t>
      </w:r>
      <w:r w:rsidRPr="009F4E97">
        <w:t xml:space="preserve"> </w:t>
      </w:r>
      <w:r w:rsidR="004D5217">
        <w:t>S</w:t>
      </w:r>
      <w:r w:rsidRPr="009F4E97">
        <w:t xml:space="preserve">eit 2024 </w:t>
      </w:r>
      <w:r w:rsidR="004D5217">
        <w:t xml:space="preserve">kam die Beratung </w:t>
      </w:r>
      <w:r w:rsidRPr="009F4E97">
        <w:t xml:space="preserve">zur strategischen </w:t>
      </w:r>
      <w:r>
        <w:t>Nutzung von künstlicher Intelligenz (</w:t>
      </w:r>
      <w:r w:rsidRPr="009F4E97">
        <w:t>KI</w:t>
      </w:r>
      <w:r>
        <w:t>)</w:t>
      </w:r>
      <w:r w:rsidR="004D5217">
        <w:t xml:space="preserve"> hinzu, seit 2026 liegt ein weiterer Schwerpunkt auf OT Security</w:t>
      </w:r>
      <w:r w:rsidRPr="009F4E97">
        <w:t xml:space="preserve">. </w:t>
      </w:r>
      <w:r>
        <w:t xml:space="preserve">Mit einer eigenen Lernplattform und einer selbstentwickelten Software-Lösung für integrierte Managementsysteme befähigt die Unternehmensberatung ihre Kunden aus verschiedensten Branchen dazu, gesetzliche Vorgaben einzuhalten, Systeme zu schützen und Unternehmensziele zu erreichen. Die activeMind AG und ihre Mitarbeiter verfügen über diverse Zertifizierungen, etwa nach </w:t>
      </w:r>
      <w:r w:rsidRPr="009F4E97">
        <w:t>ISO 27001 und ISO 37301</w:t>
      </w:r>
      <w:r w:rsidR="00025EBE">
        <w:t xml:space="preserve">, ein Ergebnis nach TISAX ist verfügbar. </w:t>
      </w:r>
    </w:p>
    <w:p w14:paraId="55380197" w14:textId="0A836397" w:rsidR="002E6D28" w:rsidRDefault="00EE117E" w:rsidP="00BC6ED0">
      <w:pPr>
        <w:pStyle w:val="berschrift2"/>
      </w:pPr>
      <w:r>
        <w:t xml:space="preserve">Pressekontakt </w:t>
      </w:r>
    </w:p>
    <w:p w14:paraId="53DD4376" w14:textId="1EE3167F" w:rsidR="00BC6ED0" w:rsidRDefault="00BC6ED0" w:rsidP="00922029">
      <w:r w:rsidRPr="007B4CF7">
        <w:t xml:space="preserve">Wolfgang Scherl-Gebhard </w:t>
      </w:r>
      <w:r w:rsidRPr="007B4CF7">
        <w:br/>
      </w:r>
      <w:r>
        <w:t xml:space="preserve">Corporate Communications </w:t>
      </w:r>
    </w:p>
    <w:p w14:paraId="263E51D6" w14:textId="521CA97E" w:rsidR="00BC6ED0" w:rsidRDefault="00BC6ED0" w:rsidP="00922029">
      <w:r>
        <w:t xml:space="preserve">Telefon: </w:t>
      </w:r>
      <w:r w:rsidRPr="00BC6ED0">
        <w:t>+49 (0)89 919294900</w:t>
      </w:r>
      <w:r>
        <w:br/>
        <w:t xml:space="preserve">E-Mail: </w:t>
      </w:r>
      <w:hyperlink r:id="rId7" w:history="1">
        <w:r w:rsidRPr="00730D09">
          <w:rPr>
            <w:rStyle w:val="Hyperlink"/>
          </w:rPr>
          <w:t>scherl-gebhard@activemind.de</w:t>
        </w:r>
      </w:hyperlink>
      <w:r>
        <w:t xml:space="preserve"> </w:t>
      </w:r>
    </w:p>
    <w:p w14:paraId="1C74FD72" w14:textId="35702890" w:rsidR="00BC6ED0" w:rsidRPr="004D0D06" w:rsidRDefault="00BC6ED0" w:rsidP="00922029">
      <w:r>
        <w:t xml:space="preserve">Web: </w:t>
      </w:r>
      <w:hyperlink r:id="rId8" w:history="1">
        <w:r w:rsidR="00AD1CD1" w:rsidRPr="00730D09">
          <w:rPr>
            <w:rStyle w:val="Hyperlink"/>
          </w:rPr>
          <w:t>https://www.activemind.de/</w:t>
        </w:r>
      </w:hyperlink>
      <w:r w:rsidR="00AD1CD1">
        <w:t xml:space="preserve"> </w:t>
      </w:r>
      <w:r>
        <w:br/>
        <w:t xml:space="preserve">Pressematerialien: </w:t>
      </w:r>
      <w:hyperlink r:id="rId9" w:history="1">
        <w:r w:rsidR="00AD1CD1" w:rsidRPr="00730D09">
          <w:rPr>
            <w:rStyle w:val="Hyperlink"/>
          </w:rPr>
          <w:t>https://www.activemind.de/presse/</w:t>
        </w:r>
      </w:hyperlink>
      <w:r w:rsidR="00AD1CD1">
        <w:t xml:space="preserve"> </w:t>
      </w:r>
    </w:p>
    <w:sectPr w:rsidR="00BC6ED0" w:rsidRPr="004D0D06" w:rsidSect="00BC6ED0">
      <w:headerReference w:type="default" r:id="rId10"/>
      <w:footerReference w:type="default" r:id="rId11"/>
      <w:headerReference w:type="first" r:id="rId12"/>
      <w:footerReference w:type="first" r:id="rId13"/>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6E2E3B" w14:textId="77777777" w:rsidR="00746129" w:rsidRDefault="00746129" w:rsidP="00BC6ED0">
      <w:pPr>
        <w:spacing w:after="0" w:line="240" w:lineRule="auto"/>
      </w:pPr>
      <w:r>
        <w:separator/>
      </w:r>
    </w:p>
  </w:endnote>
  <w:endnote w:type="continuationSeparator" w:id="0">
    <w:p w14:paraId="2624CEBD" w14:textId="77777777" w:rsidR="00746129" w:rsidRDefault="00746129" w:rsidP="00BC6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E91B0" w14:textId="2067FC01" w:rsidR="00BC6ED0" w:rsidRPr="00BC6ED0" w:rsidRDefault="00BC6ED0" w:rsidP="00BC6ED0">
    <w:pPr>
      <w:pStyle w:val="Fuzeile"/>
      <w:jc w:val="center"/>
      <w:rPr>
        <w:i/>
        <w:iCs/>
        <w:color w:val="156082" w:themeColor="accent1"/>
      </w:rPr>
    </w:pPr>
    <w:r w:rsidRPr="00BC6ED0">
      <w:rPr>
        <w:i/>
        <w:iCs/>
        <w:color w:val="156082" w:themeColor="accent1"/>
      </w:rPr>
      <w:t xml:space="preserve">Seite </w:t>
    </w:r>
    <w:r w:rsidRPr="00BC6ED0">
      <w:rPr>
        <w:i/>
        <w:iCs/>
        <w:color w:val="156082" w:themeColor="accent1"/>
      </w:rPr>
      <w:fldChar w:fldCharType="begin"/>
    </w:r>
    <w:r w:rsidRPr="00BC6ED0">
      <w:rPr>
        <w:i/>
        <w:iCs/>
        <w:color w:val="156082" w:themeColor="accent1"/>
      </w:rPr>
      <w:instrText>PAGE  \* Arabic  \* MERGEFORMAT</w:instrText>
    </w:r>
    <w:r w:rsidRPr="00BC6ED0">
      <w:rPr>
        <w:i/>
        <w:iCs/>
        <w:color w:val="156082" w:themeColor="accent1"/>
      </w:rPr>
      <w:fldChar w:fldCharType="separate"/>
    </w:r>
    <w:r>
      <w:rPr>
        <w:i/>
        <w:iCs/>
        <w:color w:val="156082" w:themeColor="accent1"/>
      </w:rPr>
      <w:t>1</w:t>
    </w:r>
    <w:r w:rsidRPr="00BC6ED0">
      <w:rPr>
        <w:i/>
        <w:iCs/>
        <w:color w:val="156082" w:themeColor="accent1"/>
      </w:rPr>
      <w:fldChar w:fldCharType="end"/>
    </w:r>
    <w:r w:rsidRPr="00BC6ED0">
      <w:rPr>
        <w:i/>
        <w:iCs/>
        <w:color w:val="156082" w:themeColor="accent1"/>
      </w:rPr>
      <w:t xml:space="preserve"> von </w:t>
    </w:r>
    <w:r w:rsidRPr="00BC6ED0">
      <w:rPr>
        <w:i/>
        <w:iCs/>
        <w:color w:val="156082" w:themeColor="accent1"/>
      </w:rPr>
      <w:fldChar w:fldCharType="begin"/>
    </w:r>
    <w:r w:rsidRPr="00BC6ED0">
      <w:rPr>
        <w:i/>
        <w:iCs/>
        <w:color w:val="156082" w:themeColor="accent1"/>
      </w:rPr>
      <w:instrText>NUMPAGES \* Arabisch \* MERGEFORMAT</w:instrText>
    </w:r>
    <w:r w:rsidRPr="00BC6ED0">
      <w:rPr>
        <w:i/>
        <w:iCs/>
        <w:color w:val="156082" w:themeColor="accent1"/>
      </w:rPr>
      <w:fldChar w:fldCharType="separate"/>
    </w:r>
    <w:r>
      <w:rPr>
        <w:i/>
        <w:iCs/>
        <w:color w:val="156082" w:themeColor="accent1"/>
      </w:rPr>
      <w:t>2</w:t>
    </w:r>
    <w:r w:rsidRPr="00BC6ED0">
      <w:rPr>
        <w:i/>
        <w:iCs/>
        <w:color w:val="156082" w:themeColor="accent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68E46" w14:textId="62A6E573" w:rsidR="00BC6ED0" w:rsidRPr="00BC6ED0" w:rsidRDefault="00BC6ED0" w:rsidP="00BC6ED0">
    <w:pPr>
      <w:pStyle w:val="Fuzeile"/>
      <w:jc w:val="center"/>
      <w:rPr>
        <w:i/>
        <w:iCs/>
        <w:color w:val="156082" w:themeColor="accent1"/>
      </w:rPr>
    </w:pPr>
    <w:r w:rsidRPr="00BC6ED0">
      <w:rPr>
        <w:i/>
        <w:iCs/>
        <w:color w:val="156082" w:themeColor="accent1"/>
      </w:rPr>
      <w:t xml:space="preserve">Seite </w:t>
    </w:r>
    <w:r w:rsidRPr="00BC6ED0">
      <w:rPr>
        <w:i/>
        <w:iCs/>
        <w:color w:val="156082" w:themeColor="accent1"/>
      </w:rPr>
      <w:fldChar w:fldCharType="begin"/>
    </w:r>
    <w:r w:rsidRPr="00BC6ED0">
      <w:rPr>
        <w:i/>
        <w:iCs/>
        <w:color w:val="156082" w:themeColor="accent1"/>
      </w:rPr>
      <w:instrText>PAGE  \* Arabic  \* MERGEFORMAT</w:instrText>
    </w:r>
    <w:r w:rsidRPr="00BC6ED0">
      <w:rPr>
        <w:i/>
        <w:iCs/>
        <w:color w:val="156082" w:themeColor="accent1"/>
      </w:rPr>
      <w:fldChar w:fldCharType="separate"/>
    </w:r>
    <w:r w:rsidRPr="00BC6ED0">
      <w:rPr>
        <w:i/>
        <w:iCs/>
        <w:color w:val="156082" w:themeColor="accent1"/>
      </w:rPr>
      <w:t>2</w:t>
    </w:r>
    <w:r w:rsidRPr="00BC6ED0">
      <w:rPr>
        <w:i/>
        <w:iCs/>
        <w:color w:val="156082" w:themeColor="accent1"/>
      </w:rPr>
      <w:fldChar w:fldCharType="end"/>
    </w:r>
    <w:r w:rsidRPr="00BC6ED0">
      <w:rPr>
        <w:i/>
        <w:iCs/>
        <w:color w:val="156082" w:themeColor="accent1"/>
      </w:rPr>
      <w:t xml:space="preserve"> von </w:t>
    </w:r>
    <w:r w:rsidRPr="00BC6ED0">
      <w:rPr>
        <w:i/>
        <w:iCs/>
        <w:color w:val="156082" w:themeColor="accent1"/>
      </w:rPr>
      <w:fldChar w:fldCharType="begin"/>
    </w:r>
    <w:r w:rsidRPr="00BC6ED0">
      <w:rPr>
        <w:i/>
        <w:iCs/>
        <w:color w:val="156082" w:themeColor="accent1"/>
      </w:rPr>
      <w:instrText>NUMPAGES \* Arabisch \* MERGEFORMAT</w:instrText>
    </w:r>
    <w:r w:rsidRPr="00BC6ED0">
      <w:rPr>
        <w:i/>
        <w:iCs/>
        <w:color w:val="156082" w:themeColor="accent1"/>
      </w:rPr>
      <w:fldChar w:fldCharType="separate"/>
    </w:r>
    <w:r w:rsidRPr="00BC6ED0">
      <w:rPr>
        <w:i/>
        <w:iCs/>
        <w:color w:val="156082" w:themeColor="accent1"/>
      </w:rPr>
      <w:t>2</w:t>
    </w:r>
    <w:r w:rsidRPr="00BC6ED0">
      <w:rPr>
        <w:i/>
        <w:iCs/>
        <w:color w:val="156082"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D560D4" w14:textId="77777777" w:rsidR="00746129" w:rsidRDefault="00746129" w:rsidP="00BC6ED0">
      <w:pPr>
        <w:spacing w:after="0" w:line="240" w:lineRule="auto"/>
      </w:pPr>
      <w:r>
        <w:separator/>
      </w:r>
    </w:p>
  </w:footnote>
  <w:footnote w:type="continuationSeparator" w:id="0">
    <w:p w14:paraId="619BE79F" w14:textId="77777777" w:rsidR="00746129" w:rsidRDefault="00746129" w:rsidP="00BC6E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D5182C" w14:textId="76C285D0" w:rsidR="00BC6ED0" w:rsidRPr="00BC6ED0" w:rsidRDefault="00BC6ED0">
    <w:pPr>
      <w:pStyle w:val="Kopfzeile"/>
      <w:rPr>
        <w:i/>
        <w:iCs/>
      </w:rPr>
    </w:pPr>
    <w:r w:rsidRPr="00BC6ED0">
      <w:rPr>
        <w:i/>
        <w:iCs/>
      </w:rPr>
      <w:t xml:space="preserve">Pressemitteilung </w:t>
    </w:r>
    <w:r w:rsidR="00AD1CD1">
      <w:rPr>
        <w:i/>
        <w:iCs/>
      </w:rPr>
      <w:t xml:space="preserve">der </w:t>
    </w:r>
    <w:r w:rsidRPr="00BC6ED0">
      <w:rPr>
        <w:i/>
        <w:iCs/>
      </w:rPr>
      <w:t>activeMind</w:t>
    </w:r>
    <w:r w:rsidR="00AD1CD1">
      <w:rPr>
        <w:i/>
        <w:iCs/>
      </w:rPr>
      <w:t xml:space="preserve"> AG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707D09" w14:textId="31A32B64" w:rsidR="00BC6ED0" w:rsidRDefault="00AD1CD1">
    <w:pPr>
      <w:pStyle w:val="Kopfzeile"/>
    </w:pPr>
    <w:r>
      <w:rPr>
        <w:noProof/>
      </w:rPr>
      <w:drawing>
        <wp:inline distT="0" distB="0" distL="0" distR="0" wp14:anchorId="5BC4783D" wp14:editId="11D0039C">
          <wp:extent cx="2584975" cy="288000"/>
          <wp:effectExtent l="0" t="0" r="0" b="4445"/>
          <wp:docPr id="15795093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509374" name="Grafik 1579509374"/>
                  <pic:cNvPicPr/>
                </pic:nvPicPr>
                <pic:blipFill>
                  <a:blip r:embed="rId1">
                    <a:extLst>
                      <a:ext uri="{96DAC541-7B7A-43D3-8B79-37D633B846F1}">
                        <asvg:svgBlip xmlns:asvg="http://schemas.microsoft.com/office/drawing/2016/SVG/main" r:embed="rId2"/>
                      </a:ext>
                    </a:extLst>
                  </a:blip>
                  <a:stretch>
                    <a:fillRect/>
                  </a:stretch>
                </pic:blipFill>
                <pic:spPr>
                  <a:xfrm>
                    <a:off x="0" y="0"/>
                    <a:ext cx="2584975" cy="288000"/>
                  </a:xfrm>
                  <a:prstGeom prst="rect">
                    <a:avLst/>
                  </a:prstGeom>
                </pic:spPr>
              </pic:pic>
            </a:graphicData>
          </a:graphic>
        </wp:inline>
      </w:drawing>
    </w:r>
  </w:p>
  <w:p w14:paraId="4EF2BDE5" w14:textId="77777777" w:rsidR="00BC6ED0" w:rsidRDefault="00BC6ED0">
    <w:pPr>
      <w:pStyle w:val="Kopfzeile"/>
    </w:pPr>
  </w:p>
  <w:p w14:paraId="303F0DC1" w14:textId="77777777" w:rsidR="00BC6ED0" w:rsidRDefault="00BC6ED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28343A"/>
    <w:multiLevelType w:val="hybridMultilevel"/>
    <w:tmpl w:val="9A9E1C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22566FB7"/>
    <w:multiLevelType w:val="hybridMultilevel"/>
    <w:tmpl w:val="FB9C3F3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37294E76"/>
    <w:multiLevelType w:val="hybridMultilevel"/>
    <w:tmpl w:val="63F0514C"/>
    <w:lvl w:ilvl="0" w:tplc="33A6B06A">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AB77482"/>
    <w:multiLevelType w:val="hybridMultilevel"/>
    <w:tmpl w:val="F5EE67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3ED1E67"/>
    <w:multiLevelType w:val="hybridMultilevel"/>
    <w:tmpl w:val="32DC89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03798052">
    <w:abstractNumId w:val="4"/>
  </w:num>
  <w:num w:numId="2" w16cid:durableId="1540777017">
    <w:abstractNumId w:val="1"/>
  </w:num>
  <w:num w:numId="3" w16cid:durableId="1123689297">
    <w:abstractNumId w:val="0"/>
  </w:num>
  <w:num w:numId="4" w16cid:durableId="1868060227">
    <w:abstractNumId w:val="2"/>
  </w:num>
  <w:num w:numId="5" w16cid:durableId="199309326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FA3"/>
    <w:rsid w:val="000037C8"/>
    <w:rsid w:val="0002493C"/>
    <w:rsid w:val="00025EBE"/>
    <w:rsid w:val="00056451"/>
    <w:rsid w:val="000C517E"/>
    <w:rsid w:val="00111E2B"/>
    <w:rsid w:val="00131766"/>
    <w:rsid w:val="0014366E"/>
    <w:rsid w:val="00177157"/>
    <w:rsid w:val="0018400A"/>
    <w:rsid w:val="001C2900"/>
    <w:rsid w:val="001C331A"/>
    <w:rsid w:val="001E5B75"/>
    <w:rsid w:val="00207D8D"/>
    <w:rsid w:val="002819B3"/>
    <w:rsid w:val="00286903"/>
    <w:rsid w:val="002C37F7"/>
    <w:rsid w:val="002E23FA"/>
    <w:rsid w:val="002E6D28"/>
    <w:rsid w:val="002F323C"/>
    <w:rsid w:val="00306875"/>
    <w:rsid w:val="00315716"/>
    <w:rsid w:val="003C5FA3"/>
    <w:rsid w:val="00481B20"/>
    <w:rsid w:val="004D0D06"/>
    <w:rsid w:val="004D5217"/>
    <w:rsid w:val="0050705F"/>
    <w:rsid w:val="00530165"/>
    <w:rsid w:val="00547BC3"/>
    <w:rsid w:val="005851A5"/>
    <w:rsid w:val="005A7909"/>
    <w:rsid w:val="005D5A72"/>
    <w:rsid w:val="00637678"/>
    <w:rsid w:val="00645C0B"/>
    <w:rsid w:val="006F69D9"/>
    <w:rsid w:val="007042C3"/>
    <w:rsid w:val="00705082"/>
    <w:rsid w:val="007134CF"/>
    <w:rsid w:val="00746129"/>
    <w:rsid w:val="00752DE2"/>
    <w:rsid w:val="00755D09"/>
    <w:rsid w:val="00767803"/>
    <w:rsid w:val="007B16D7"/>
    <w:rsid w:val="007B2462"/>
    <w:rsid w:val="007B4CF7"/>
    <w:rsid w:val="007D0938"/>
    <w:rsid w:val="00803F71"/>
    <w:rsid w:val="008A3DD9"/>
    <w:rsid w:val="008B4791"/>
    <w:rsid w:val="008D374E"/>
    <w:rsid w:val="008E1D05"/>
    <w:rsid w:val="00922029"/>
    <w:rsid w:val="00945B44"/>
    <w:rsid w:val="009B7585"/>
    <w:rsid w:val="009F4E97"/>
    <w:rsid w:val="00AD1CD1"/>
    <w:rsid w:val="00B43121"/>
    <w:rsid w:val="00B83E8A"/>
    <w:rsid w:val="00BC6ED0"/>
    <w:rsid w:val="00C255E2"/>
    <w:rsid w:val="00C36178"/>
    <w:rsid w:val="00C61110"/>
    <w:rsid w:val="00C86BC1"/>
    <w:rsid w:val="00CA3A4B"/>
    <w:rsid w:val="00D83B4E"/>
    <w:rsid w:val="00D935E2"/>
    <w:rsid w:val="00DA042C"/>
    <w:rsid w:val="00DD1C7F"/>
    <w:rsid w:val="00DE6931"/>
    <w:rsid w:val="00DF24EC"/>
    <w:rsid w:val="00DF431C"/>
    <w:rsid w:val="00E60BF7"/>
    <w:rsid w:val="00E6494E"/>
    <w:rsid w:val="00EB200D"/>
    <w:rsid w:val="00EE117E"/>
    <w:rsid w:val="00F721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8F701"/>
  <w15:chartTrackingRefBased/>
  <w15:docId w15:val="{A4A87AD2-7065-7347-8E81-749A902FD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23FA"/>
    <w:pPr>
      <w:spacing w:after="160" w:line="259" w:lineRule="auto"/>
    </w:pPr>
    <w:rPr>
      <w:rFonts w:ascii="Calibri" w:hAnsi="Calibri"/>
      <w:sz w:val="22"/>
    </w:rPr>
  </w:style>
  <w:style w:type="paragraph" w:styleId="berschrift1">
    <w:name w:val="heading 1"/>
    <w:basedOn w:val="Standard"/>
    <w:next w:val="Standard"/>
    <w:link w:val="berschrift1Zchn"/>
    <w:autoRedefine/>
    <w:uiPriority w:val="9"/>
    <w:qFormat/>
    <w:rsid w:val="002E23FA"/>
    <w:pPr>
      <w:keepNext/>
      <w:keepLines/>
      <w:spacing w:after="120"/>
      <w:outlineLvl w:val="0"/>
    </w:pPr>
    <w:rPr>
      <w:rFonts w:ascii="Calibri Light" w:eastAsiaTheme="majorEastAsia" w:hAnsi="Calibri Light" w:cstheme="majorBidi"/>
      <w:color w:val="0070C0"/>
      <w:sz w:val="40"/>
      <w:szCs w:val="40"/>
    </w:rPr>
  </w:style>
  <w:style w:type="paragraph" w:styleId="berschrift2">
    <w:name w:val="heading 2"/>
    <w:basedOn w:val="Standard"/>
    <w:next w:val="Standard"/>
    <w:link w:val="berschrift2Zchn"/>
    <w:autoRedefine/>
    <w:uiPriority w:val="9"/>
    <w:unhideWhenUsed/>
    <w:qFormat/>
    <w:rsid w:val="002E23FA"/>
    <w:pPr>
      <w:keepNext/>
      <w:keepLines/>
      <w:spacing w:before="160"/>
      <w:outlineLvl w:val="1"/>
    </w:pPr>
    <w:rPr>
      <w:rFonts w:ascii="Calibri Light" w:eastAsiaTheme="majorEastAsia" w:hAnsi="Calibri Light" w:cstheme="majorBidi"/>
      <w:color w:val="0070C0"/>
      <w:sz w:val="32"/>
      <w:szCs w:val="32"/>
    </w:rPr>
  </w:style>
  <w:style w:type="paragraph" w:styleId="berschrift3">
    <w:name w:val="heading 3"/>
    <w:basedOn w:val="Standard"/>
    <w:next w:val="Standard"/>
    <w:link w:val="berschrift3Zchn"/>
    <w:autoRedefine/>
    <w:uiPriority w:val="9"/>
    <w:semiHidden/>
    <w:unhideWhenUsed/>
    <w:qFormat/>
    <w:rsid w:val="002E23FA"/>
    <w:pPr>
      <w:keepNext/>
      <w:keepLines/>
      <w:spacing w:before="160"/>
      <w:outlineLvl w:val="2"/>
    </w:pPr>
    <w:rPr>
      <w:rFonts w:eastAsiaTheme="majorEastAsia" w:cstheme="majorBidi"/>
      <w:color w:val="0070C0"/>
      <w:sz w:val="28"/>
      <w:szCs w:val="28"/>
    </w:rPr>
  </w:style>
  <w:style w:type="paragraph" w:styleId="berschrift4">
    <w:name w:val="heading 4"/>
    <w:basedOn w:val="Standard"/>
    <w:next w:val="Standard"/>
    <w:link w:val="berschrift4Zchn"/>
    <w:uiPriority w:val="9"/>
    <w:semiHidden/>
    <w:unhideWhenUsed/>
    <w:qFormat/>
    <w:rsid w:val="003C5FA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C5FA3"/>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3C5FA3"/>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C5FA3"/>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3C5FA3"/>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C5FA3"/>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E23FA"/>
    <w:rPr>
      <w:rFonts w:ascii="Calibri Light" w:eastAsiaTheme="majorEastAsia" w:hAnsi="Calibri Light" w:cstheme="majorBidi"/>
      <w:color w:val="0070C0"/>
      <w:sz w:val="40"/>
      <w:szCs w:val="40"/>
    </w:rPr>
  </w:style>
  <w:style w:type="character" w:customStyle="1" w:styleId="berschrift2Zchn">
    <w:name w:val="Überschrift 2 Zchn"/>
    <w:basedOn w:val="Absatz-Standardschriftart"/>
    <w:link w:val="berschrift2"/>
    <w:uiPriority w:val="9"/>
    <w:rsid w:val="002E23FA"/>
    <w:rPr>
      <w:rFonts w:ascii="Calibri Light" w:eastAsiaTheme="majorEastAsia" w:hAnsi="Calibri Light" w:cstheme="majorBidi"/>
      <w:color w:val="0070C0"/>
      <w:sz w:val="32"/>
      <w:szCs w:val="32"/>
    </w:rPr>
  </w:style>
  <w:style w:type="character" w:customStyle="1" w:styleId="berschrift3Zchn">
    <w:name w:val="Überschrift 3 Zchn"/>
    <w:basedOn w:val="Absatz-Standardschriftart"/>
    <w:link w:val="berschrift3"/>
    <w:uiPriority w:val="9"/>
    <w:semiHidden/>
    <w:rsid w:val="002E23FA"/>
    <w:rPr>
      <w:rFonts w:ascii="Calibri" w:eastAsiaTheme="majorEastAsia" w:hAnsi="Calibri" w:cstheme="majorBidi"/>
      <w:color w:val="0070C0"/>
      <w:sz w:val="28"/>
      <w:szCs w:val="28"/>
    </w:rPr>
  </w:style>
  <w:style w:type="character" w:customStyle="1" w:styleId="berschrift4Zchn">
    <w:name w:val="Überschrift 4 Zchn"/>
    <w:basedOn w:val="Absatz-Standardschriftart"/>
    <w:link w:val="berschrift4"/>
    <w:uiPriority w:val="9"/>
    <w:semiHidden/>
    <w:rsid w:val="003C5FA3"/>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
    <w:semiHidden/>
    <w:rsid w:val="003C5FA3"/>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
    <w:semiHidden/>
    <w:rsid w:val="003C5FA3"/>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
    <w:semiHidden/>
    <w:rsid w:val="003C5FA3"/>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
    <w:semiHidden/>
    <w:rsid w:val="003C5FA3"/>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
    <w:semiHidden/>
    <w:rsid w:val="003C5FA3"/>
    <w:rPr>
      <w:rFonts w:eastAsiaTheme="majorEastAsia" w:cstheme="majorBidi"/>
      <w:color w:val="272727" w:themeColor="text1" w:themeTint="D8"/>
      <w:sz w:val="22"/>
    </w:rPr>
  </w:style>
  <w:style w:type="paragraph" w:styleId="Titel">
    <w:name w:val="Title"/>
    <w:basedOn w:val="Standard"/>
    <w:next w:val="Standard"/>
    <w:link w:val="TitelZchn"/>
    <w:uiPriority w:val="10"/>
    <w:qFormat/>
    <w:rsid w:val="003C5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C5FA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C5FA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C5FA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C5FA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C5FA3"/>
    <w:rPr>
      <w:rFonts w:ascii="Calibri" w:hAnsi="Calibri"/>
      <w:i/>
      <w:iCs/>
      <w:color w:val="404040" w:themeColor="text1" w:themeTint="BF"/>
      <w:sz w:val="22"/>
    </w:rPr>
  </w:style>
  <w:style w:type="paragraph" w:styleId="Listenabsatz">
    <w:name w:val="List Paragraph"/>
    <w:basedOn w:val="Standard"/>
    <w:uiPriority w:val="34"/>
    <w:qFormat/>
    <w:rsid w:val="003C5FA3"/>
    <w:pPr>
      <w:ind w:left="720"/>
      <w:contextualSpacing/>
    </w:pPr>
  </w:style>
  <w:style w:type="character" w:styleId="IntensiveHervorhebung">
    <w:name w:val="Intense Emphasis"/>
    <w:basedOn w:val="Absatz-Standardschriftart"/>
    <w:uiPriority w:val="21"/>
    <w:qFormat/>
    <w:rsid w:val="003C5FA3"/>
    <w:rPr>
      <w:i/>
      <w:iCs/>
      <w:color w:val="0F4761" w:themeColor="accent1" w:themeShade="BF"/>
    </w:rPr>
  </w:style>
  <w:style w:type="paragraph" w:styleId="IntensivesZitat">
    <w:name w:val="Intense Quote"/>
    <w:basedOn w:val="Standard"/>
    <w:next w:val="Standard"/>
    <w:link w:val="IntensivesZitatZchn"/>
    <w:uiPriority w:val="30"/>
    <w:qFormat/>
    <w:rsid w:val="003C5F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C5FA3"/>
    <w:rPr>
      <w:rFonts w:ascii="Calibri" w:hAnsi="Calibri"/>
      <w:i/>
      <w:iCs/>
      <w:color w:val="0F4761" w:themeColor="accent1" w:themeShade="BF"/>
      <w:sz w:val="22"/>
    </w:rPr>
  </w:style>
  <w:style w:type="character" w:styleId="IntensiverVerweis">
    <w:name w:val="Intense Reference"/>
    <w:basedOn w:val="Absatz-Standardschriftart"/>
    <w:uiPriority w:val="32"/>
    <w:qFormat/>
    <w:rsid w:val="003C5FA3"/>
    <w:rPr>
      <w:b/>
      <w:bCs/>
      <w:smallCaps/>
      <w:color w:val="0F4761" w:themeColor="accent1" w:themeShade="BF"/>
      <w:spacing w:val="5"/>
    </w:rPr>
  </w:style>
  <w:style w:type="character" w:styleId="Hyperlink">
    <w:name w:val="Hyperlink"/>
    <w:basedOn w:val="Absatz-Standardschriftart"/>
    <w:uiPriority w:val="99"/>
    <w:unhideWhenUsed/>
    <w:rsid w:val="004D0D06"/>
    <w:rPr>
      <w:color w:val="467886" w:themeColor="hyperlink"/>
      <w:u w:val="single"/>
    </w:rPr>
  </w:style>
  <w:style w:type="character" w:styleId="NichtaufgelsteErwhnung">
    <w:name w:val="Unresolved Mention"/>
    <w:basedOn w:val="Absatz-Standardschriftart"/>
    <w:uiPriority w:val="99"/>
    <w:semiHidden/>
    <w:unhideWhenUsed/>
    <w:rsid w:val="004D0D06"/>
    <w:rPr>
      <w:color w:val="605E5C"/>
      <w:shd w:val="clear" w:color="auto" w:fill="E1DFDD"/>
    </w:rPr>
  </w:style>
  <w:style w:type="paragraph" w:styleId="berarbeitung">
    <w:name w:val="Revision"/>
    <w:hidden/>
    <w:uiPriority w:val="99"/>
    <w:semiHidden/>
    <w:rsid w:val="00DA042C"/>
    <w:rPr>
      <w:rFonts w:ascii="Calibri" w:hAnsi="Calibri"/>
      <w:sz w:val="22"/>
    </w:rPr>
  </w:style>
  <w:style w:type="character" w:styleId="Kommentarzeichen">
    <w:name w:val="annotation reference"/>
    <w:basedOn w:val="Absatz-Standardschriftart"/>
    <w:uiPriority w:val="99"/>
    <w:semiHidden/>
    <w:unhideWhenUsed/>
    <w:rsid w:val="009B7585"/>
    <w:rPr>
      <w:sz w:val="16"/>
      <w:szCs w:val="16"/>
    </w:rPr>
  </w:style>
  <w:style w:type="paragraph" w:styleId="Kommentartext">
    <w:name w:val="annotation text"/>
    <w:basedOn w:val="Standard"/>
    <w:link w:val="KommentartextZchn"/>
    <w:uiPriority w:val="99"/>
    <w:semiHidden/>
    <w:unhideWhenUsed/>
    <w:rsid w:val="009B758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B7585"/>
    <w:rPr>
      <w:rFonts w:ascii="Calibri" w:hAnsi="Calibri"/>
      <w:sz w:val="20"/>
      <w:szCs w:val="20"/>
    </w:rPr>
  </w:style>
  <w:style w:type="paragraph" w:styleId="Kommentarthema">
    <w:name w:val="annotation subject"/>
    <w:basedOn w:val="Kommentartext"/>
    <w:next w:val="Kommentartext"/>
    <w:link w:val="KommentarthemaZchn"/>
    <w:uiPriority w:val="99"/>
    <w:semiHidden/>
    <w:unhideWhenUsed/>
    <w:rsid w:val="009B7585"/>
    <w:rPr>
      <w:b/>
      <w:bCs/>
    </w:rPr>
  </w:style>
  <w:style w:type="character" w:customStyle="1" w:styleId="KommentarthemaZchn">
    <w:name w:val="Kommentarthema Zchn"/>
    <w:basedOn w:val="KommentartextZchn"/>
    <w:link w:val="Kommentarthema"/>
    <w:uiPriority w:val="99"/>
    <w:semiHidden/>
    <w:rsid w:val="009B7585"/>
    <w:rPr>
      <w:rFonts w:ascii="Calibri" w:hAnsi="Calibri"/>
      <w:b/>
      <w:bCs/>
      <w:sz w:val="20"/>
      <w:szCs w:val="20"/>
    </w:rPr>
  </w:style>
  <w:style w:type="paragraph" w:styleId="Kopfzeile">
    <w:name w:val="header"/>
    <w:basedOn w:val="Standard"/>
    <w:link w:val="KopfzeileZchn"/>
    <w:uiPriority w:val="99"/>
    <w:unhideWhenUsed/>
    <w:rsid w:val="00BC6ED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C6ED0"/>
    <w:rPr>
      <w:rFonts w:ascii="Calibri" w:hAnsi="Calibri"/>
      <w:sz w:val="22"/>
    </w:rPr>
  </w:style>
  <w:style w:type="paragraph" w:styleId="Fuzeile">
    <w:name w:val="footer"/>
    <w:basedOn w:val="Standard"/>
    <w:link w:val="FuzeileZchn"/>
    <w:uiPriority w:val="99"/>
    <w:unhideWhenUsed/>
    <w:rsid w:val="00BC6ED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C6ED0"/>
    <w:rPr>
      <w:rFonts w:ascii="Calibri" w:hAnsi="Calibri"/>
      <w:sz w:val="22"/>
    </w:rPr>
  </w:style>
  <w:style w:type="character" w:styleId="BesuchterLink">
    <w:name w:val="FollowedHyperlink"/>
    <w:basedOn w:val="Absatz-Standardschriftart"/>
    <w:uiPriority w:val="99"/>
    <w:semiHidden/>
    <w:unhideWhenUsed/>
    <w:rsid w:val="001C331A"/>
    <w:rPr>
      <w:color w:val="96607D" w:themeColor="followedHyperlink"/>
      <w:u w:val="single"/>
    </w:rPr>
  </w:style>
  <w:style w:type="paragraph" w:customStyle="1" w:styleId="pf0">
    <w:name w:val="pf0"/>
    <w:basedOn w:val="Standard"/>
    <w:rsid w:val="00DF24EC"/>
    <w:pPr>
      <w:spacing w:before="100" w:beforeAutospacing="1" w:after="100" w:afterAutospacing="1" w:line="240" w:lineRule="auto"/>
    </w:pPr>
    <w:rPr>
      <w:rFonts w:ascii="Times New Roman" w:eastAsia="Times New Roman" w:hAnsi="Times New Roman" w:cs="Times New Roman"/>
      <w:kern w:val="0"/>
      <w:sz w:val="24"/>
      <w:lang w:eastAsia="de-DE"/>
      <w14:ligatures w14:val="none"/>
    </w:rPr>
  </w:style>
  <w:style w:type="character" w:customStyle="1" w:styleId="cf01">
    <w:name w:val="cf01"/>
    <w:basedOn w:val="Absatz-Standardschriftart"/>
    <w:rsid w:val="00DF24E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tivemind.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scherl-gebhard@activemind.d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ctivemind.de/presse/"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656</Words>
  <Characters>4739</Characters>
  <Application>Microsoft Office Word</Application>
  <DocSecurity>0</DocSecurity>
  <Lines>77</Lines>
  <Paragraphs>28</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5403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activeMind AG</dc:creator>
  <cp:keywords/>
  <dc:description/>
  <cp:lastModifiedBy>Felix Schmidt</cp:lastModifiedBy>
  <cp:revision>3</cp:revision>
  <cp:lastPrinted>2026-09-28T09:36:00Z</cp:lastPrinted>
  <dcterms:created xsi:type="dcterms:W3CDTF">2026-09-28T09:36:00Z</dcterms:created>
  <dcterms:modified xsi:type="dcterms:W3CDTF">2026-09-28T09:38:00Z</dcterms:modified>
  <cp:category/>
</cp:coreProperties>
</file>